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648335</wp:posOffset>
                </wp:positionH>
                <wp:positionV relativeFrom="page">
                  <wp:posOffset>386715</wp:posOffset>
                </wp:positionV>
                <wp:extent cx="0" cy="567055"/>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67055"/>
                        </a:xfrm>
                        <a:prstGeom prst="line">
                          <a:avLst/>
                        </a:prstGeom>
                        <a:solidFill>
                          <a:srgbClr val="FFFFFF"/>
                        </a:solidFill>
                        <a:ln w="6350">
                          <a:solidFill>
                            <a:srgbClr val="000000"/>
                          </a:solidFill>
                          <a:miter lim="800000"/>
                          <a:headEnd/>
                          <a:tailEnd/>
                        </a:ln>
                      </wps:spPr>
                      <wps:bodyPr/>
                    </wps:wsp>
                  </a:graphicData>
                </a:graphic>
              </wp:anchor>
            </w:drawing>
          </mc:Choice>
          <mc:Fallback>
            <w:pict>
              <v:line xmlns:v="urn:schemas-microsoft-com:vml" id="Shape 1" o:spid="_x0000_s10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1.05pt,30.45pt" to="51.05pt,75.1pt" o:allowincell="f" strokecolor="#000000" strokeweight="0.5pt">
                <w10:wrap xmlns:w10="urn:schemas-microsoft-com:office:word" anchorx="page" anchory="page"/>
              </v:line>
            </w:pict>
          </mc:Fallback>
        </mc:AlternateContent>
      </w:r>
      <w:r>
        <w:rPr xmlns:w="http://schemas.openxmlformats.org/wordprocessingml/2006/main">
          <w:rFonts w:ascii="Arial" w:cs="Arial" w:eastAsia="Arial" w:hAnsi="Arial"/>
          <w:sz w:val="16"/>
          <w:szCs w:val="16"/>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5779135</wp:posOffset>
                </wp:positionH>
                <wp:positionV relativeFrom="page">
                  <wp:posOffset>386715</wp:posOffset>
                </wp:positionV>
                <wp:extent cx="0" cy="56705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67055"/>
                        </a:xfrm>
                        <a:prstGeom prst="line">
                          <a:avLst/>
                        </a:prstGeom>
                        <a:solidFill>
                          <a:srgbClr val="FFFFFF"/>
                        </a:solidFill>
                        <a:ln w="6350">
                          <a:solidFill>
                            <a:srgbClr val="000000"/>
                          </a:solidFill>
                          <a:miter lim="800000"/>
                          <a:headEnd/>
                          <a:tailEnd/>
                        </a:ln>
                      </wps:spPr>
                      <wps:bodyPr/>
                    </wps:wsp>
                  </a:graphicData>
                </a:graphic>
              </wp:anchor>
            </w:drawing>
          </mc:Choice>
          <mc:Fallback>
            <w:pict>
              <v:line xmlns:v="urn:schemas-microsoft-com:vml"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55.05pt,30.45pt" to="455.05pt,75.1pt" o:allowincell="f" strokecolor="#000000" strokeweight="0.5pt">
                <w10:wrap xmlns:w10="urn:schemas-microsoft-com:office:word" anchorx="page" anchory="page"/>
              </v:line>
            </w:pict>
          </mc:Fallback>
        </mc:AlternateContent>
      </w:r>
      <w:r>
        <w:rPr xmlns:w="http://schemas.openxmlformats.org/wordprocessingml/2006/main">
          <w:rFonts w:ascii="Arial" w:cs="Arial" w:eastAsia="Arial" w:hAnsi="Arial"/>
          <w:sz w:val="16"/>
          <w:szCs w:val="16"/>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645160</wp:posOffset>
            </wp:positionH>
            <wp:positionV relativeFrom="page">
              <wp:posOffset>386715</wp:posOffset>
            </wp:positionV>
            <wp:extent cx="5608320" cy="3232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5608320" cy="323215"/>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auto"/>
        </w:rPr>
        <w:t xml:space="preserve">Βασικές πληροφορίες για τους επενδυτές στο Ηνωμένο Βασίλειο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5605780</wp:posOffset>
            </wp:positionH>
            <wp:positionV relativeFrom="paragraph">
              <wp:posOffset>-40005</wp:posOffset>
            </wp:positionV>
            <wp:extent cx="592455" cy="2012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592455" cy="201295"/>
                    </a:xfrm>
                    <a:prstGeom prst="rect">
                      <a:avLst/>
                    </a:prstGeom>
                    <a:noFill/>
                  </pic:spPr>
                </pic:pic>
              </a:graphicData>
            </a:graphic>
          </wp:anchor>
        </w:drawing>
      </w:r>
    </w:p>
    <w:p>
      <w:pPr>
        <w:spacing w:after="0" w:line="18" w:lineRule="exact"/>
        <w:rPr>
          <w:sz w:val="24"/>
          <w:szCs w:val="24"/>
          <w:color w:val="auto"/>
        </w:rPr>
      </w:pPr>
    </w:p>
    <w:p>
      <w:pPr xmlns:w="http://schemas.openxmlformats.org/wordprocessingml/2006/main">
        <w:jc w:val="both"/>
        <w:ind w:left="160" w:right="23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6"/>
          <w:szCs w:val="16"/>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-125095</wp:posOffset>
            </wp:positionV>
            <wp:extent cx="6199505" cy="1797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199505" cy="17970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-125095</wp:posOffset>
            </wp:positionV>
            <wp:extent cx="6199505" cy="1797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199505" cy="179705"/>
                    </a:xfrm>
                    <a:prstGeom prst="rect">
                      <a:avLst/>
                    </a:prstGeom>
                    <a:noFill/>
                  </pic:spPr>
                </pic:pic>
              </a:graphicData>
            </a:graphic>
          </wp:anchor>
        </w:drawing>
      </w:r>
    </w:p>
    <w:p>
      <w:pPr>
        <w:spacing w:after="0" w:line="109"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Xtrackers Τεχνητή νοημοσύνη &amp; Big Data ΟΣΕΚΑ ETF</w:t>
      </w:r>
    </w:p>
    <w:p>
      <w:pPr>
        <w:spacing w:after="0" w:line="2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Κοινή χρήση κλάσης:</w:t>
      </w:r>
      <w:r>
        <w:rPr xmlns:w="http://schemas.openxmlformats.org/wordprocessingml/2006/main">
          <w:rFonts w:ascii="Arial" w:cs="Arial" w:eastAsia="Arial" w:hAnsi="Arial"/>
          <w:sz w:val="22"/>
          <w:szCs w:val="22"/>
          <w:b w:val="1"/>
          <w:bCs w:val="1"/>
          <w:color w:val="auto"/>
        </w:rPr>
        <w:t xml:space="preserve"> 1Γ, ISIN:</w:t>
      </w:r>
      <w:r>
        <w:rPr xmlns:w="http://schemas.openxmlformats.org/wordprocessingml/2006/main">
          <w:rFonts w:ascii="Arial" w:cs="Arial" w:eastAsia="Arial" w:hAnsi="Arial"/>
          <w:sz w:val="22"/>
          <w:szCs w:val="22"/>
          <w:b w:val="1"/>
          <w:bCs w:val="1"/>
          <w:color w:val="auto"/>
        </w:rPr>
        <w:t xml:space="preserve"> IE00BGV5VN51, Κωδικός ασφαλείας:</w:t>
      </w:r>
      <w:r>
        <w:rPr xmlns:w="http://schemas.openxmlformats.org/wordprocessingml/2006/main">
          <w:rFonts w:ascii="Arial" w:cs="Arial" w:eastAsia="Arial" w:hAnsi="Arial"/>
          <w:sz w:val="22"/>
          <w:szCs w:val="22"/>
          <w:b w:val="1"/>
          <w:bCs w:val="1"/>
          <w:color w:val="auto"/>
        </w:rPr>
        <w:t xml:space="preserve"> A2N6LC, νόμισμα:</w:t>
      </w:r>
      <w:r>
        <w:rPr xmlns:w="http://schemas.openxmlformats.org/wordprocessingml/2006/main">
          <w:rFonts w:ascii="Arial" w:cs="Arial" w:eastAsia="Arial" w:hAnsi="Arial"/>
          <w:sz w:val="22"/>
          <w:szCs w:val="22"/>
          <w:b w:val="1"/>
          <w:bCs w:val="1"/>
          <w:color w:val="auto"/>
        </w:rPr>
        <w:t xml:space="preserve"> USD</w:t>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ένα επιμέρους κεφάλαιο της Xtrackers (IE) plc.</w:t>
      </w:r>
      <w:r>
        <w:rPr xmlns:w="http://schemas.openxmlformats.org/wordprocessingml/2006/main">
          <w:rFonts w:ascii="Arial" w:cs="Arial" w:eastAsia="Arial" w:hAnsi="Arial"/>
          <w:sz w:val="16"/>
          <w:szCs w:val="16"/>
          <w:color w:val="auto"/>
        </w:rPr>
        <w:t xml:space="preserve"> Η εταιρεία διαχείρισης είναι η DWS Investment S.A., μέλος του ομίλου DWS.</w:t>
      </w:r>
    </w:p>
    <w:p>
      <w:pPr>
        <w:spacing w:after="0" w:line="38"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Στόχοι και επενδυτική πολιτική</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32385</wp:posOffset>
                </wp:positionV>
                <wp:extent cx="639635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2.55pt" to="504.75pt,2.55pt" o:allowincell="f" strokecolor="#EE7203" strokeweight="1.5pt"/>
            </w:pict>
          </mc:Fallback>
        </mc:AlternateContent>
      </w:r>
    </w:p>
    <w:p>
      <w:pPr>
        <w:sectPr>
          <w:pgSz w:w="11900" w:h="16838" w:orient="portrait"/>
          <w:cols w:equalWidth="0" w:num="1">
            <w:col w:w="10020"/>
          </w:cols>
          <w:pgMar w:left="1020" w:top="626" w:right="866" w:bottom="195" w:gutter="0" w:footer="0" w:header="0"/>
        </w:sectPr>
      </w:pPr>
    </w:p>
    <w:p>
      <w:pPr>
        <w:spacing w:after="0" w:line="116" w:lineRule="exact"/>
        <w:rPr>
          <w:sz w:val="24"/>
          <w:szCs w:val="24"/>
          <w:color w:val="auto"/>
        </w:rPr>
      </w:pPr>
    </w:p>
    <w:p>
      <w:pPr xmlns:w="http://schemas.openxmlformats.org/wordprocessingml/2006/main">
        <w:jc w:val="both"/>
        <w:ind w:left="60"/>
        <w:spacing w:after="0" w:line="258" w:lineRule="auto"/>
        <w:rPr>
          <w:sz w:val="20"/>
          <w:szCs w:val="20"/>
          <w:color w:val="auto"/>
        </w:rPr>
      </w:pPr>
      <w:r>
        <w:rPr xmlns:w="http://schemas.openxmlformats.org/wordprocessingml/2006/main">
          <w:rFonts w:ascii="Arial" w:cs="Arial" w:eastAsia="Arial" w:hAnsi="Arial"/>
          <w:sz w:val="15"/>
          <w:szCs w:val="15"/>
          <w:color w:val="auto"/>
        </w:rPr>
        <w:t xml:space="preserve">Η διαχείριση του ταμείου γίνεται με παθητικό τρόπο.</w:t>
      </w:r>
      <w:r>
        <w:rPr xmlns:w="http://schemas.openxmlformats.org/wordprocessingml/2006/main">
          <w:rFonts w:ascii="Arial" w:cs="Arial" w:eastAsia="Arial" w:hAnsi="Arial"/>
          <w:sz w:val="15"/>
          <w:szCs w:val="15"/>
          <w:color w:val="auto"/>
        </w:rPr>
        <w:t xml:space="preserve"> Ο στόχος είναι η επένδυσή σας να παρακολουθείτε την απόδοση πριν από τις αμοιβές και τα έξοδα του Δείκτη Παγκόσμιας Τεχνητής Νοημοσύνης και Μεγάλων Δεδομένων Nasdaq (δείκτης).</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Ο δείκτης έχει σχεδιαστεί για να αντικατοπτρίζει την απόδοση των μετοχών των εταιρειών από τις παγκόσμιες ανεπτυγμένες και αναδυόμενες αγορές που έχουν υλική έκθεση σε θέματα που σχετίζονται με την τεχνητή νοημοσύνη, την επεξεργασία δεδομένων, και την ασφάλεια των δεδομένων που πληρούν ορισμένα περιβαλλοντικά, κοινωνικά και διαχειριστικά κριτήρια (ESG).</w:t>
      </w:r>
      <w:r>
        <w:rPr xmlns:w="http://schemas.openxmlformats.org/wordprocessingml/2006/main">
          <w:rFonts w:ascii="Arial" w:cs="Arial" w:eastAsia="Arial" w:hAnsi="Arial"/>
          <w:sz w:val="15"/>
          <w:szCs w:val="15"/>
          <w:color w:val="auto"/>
        </w:rPr>
        <w:t xml:space="preserve"> Ο Nasdaq εφαρμόζει μια διαδικασία διαλογής και ανάλυσης για τον προσδιορισμό των συστατικών του δείκτη.</w:t>
      </w:r>
      <w:r>
        <w:rPr xmlns:w="http://schemas.openxmlformats.org/wordprocessingml/2006/main">
          <w:rFonts w:ascii="Arial" w:cs="Arial" w:eastAsia="Arial" w:hAnsi="Arial"/>
          <w:sz w:val="15"/>
          <w:szCs w:val="15"/>
          <w:color w:val="auto"/>
        </w:rPr>
        <w:t xml:space="preserve"> Η διαδικασία αυτή περιλαμβάνει, χωρίς να περιορίζεται σε αυτήν, την ανάλυση των δεδομένων των διπλωμάτων ευρεσιτεχνίας, του μεγέθους της αγοράς, του όγκου συναλλαγών, της εισαγωγής σε χρηματιστήριο και των περιορισμών ξένης ιδιοκτησίας.</w:t>
      </w:r>
      <w:r>
        <w:rPr xmlns:w="http://schemas.openxmlformats.org/wordprocessingml/2006/main">
          <w:rFonts w:ascii="Arial" w:cs="Arial" w:eastAsia="Arial" w:hAnsi="Arial"/>
          <w:sz w:val="15"/>
          <w:szCs w:val="15"/>
          <w:color w:val="auto"/>
        </w:rPr>
        <w:t xml:space="preserve"> Ο δείκτης χρησιμοποιεί βαθμολογίες κινδύνου ESG από τρίτο πάροχο δεδομένων.</w:t>
      </w:r>
      <w:r>
        <w:rPr xmlns:w="http://schemas.openxmlformats.org/wordprocessingml/2006/main">
          <w:rFonts w:ascii="Arial" w:cs="Arial" w:eastAsia="Arial" w:hAnsi="Arial"/>
          <w:sz w:val="15"/>
          <w:szCs w:val="15"/>
          <w:color w:val="auto"/>
        </w:rPr>
        <w:t xml:space="preserve"> Οι βαθμοί κινδύνου ESG κατηγοριοποιούνται σε πέντε επίπεδα κινδύνου:</w:t>
      </w:r>
      <w:r>
        <w:rPr xmlns:w="http://schemas.openxmlformats.org/wordprocessingml/2006/main">
          <w:rFonts w:ascii="Arial" w:cs="Arial" w:eastAsia="Arial" w:hAnsi="Arial"/>
          <w:sz w:val="15"/>
          <w:szCs w:val="15"/>
          <w:color w:val="auto"/>
        </w:rPr>
        <w:t xml:space="preserve"> αμελητέα (0-10), χαμηλή (10-20), μεσαία (20-30), υψηλή (30-40) και σοβαρή (40+).</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Οι εταιρείες δεν πρέπει να έχουν βαθμολογία κινδύνου ESG 40 ή υψηλότερη και πρέπει επίσης να συμμορφώνονται με τις αρχές του Παγκόσμιου Συμφώνου των Ηνωμένων Εθνών.</w:t>
      </w:r>
      <w:r>
        <w:rPr xmlns:w="http://schemas.openxmlformats.org/wordprocessingml/2006/main">
          <w:rFonts w:ascii="Arial" w:cs="Arial" w:eastAsia="Arial" w:hAnsi="Arial"/>
          <w:sz w:val="15"/>
          <w:szCs w:val="15"/>
          <w:color w:val="auto"/>
        </w:rPr>
        <w:t xml:space="preserve"> Οι επιχειρήσεις που δραστηριοποιούνται σε συγκεκριμένους βαθμούς προϊόντων καπνού, θερμικού άνθρακα, πετρελαιοφόρου άμμου, αμφιλεγόμενων όπλων, αστικών πυροβόλων όπλων, μικρών όπλων και στρατιωτικών προμηθειών, πυρηνικών όπλων, απεμπλουτισμένου ουρανίου, ψυχαγωγίας ενηλίκων ή τυχερών παιχνιδιών, αποκλείονται και αυτές από το δείκτη.</w:t>
      </w:r>
      <w:r>
        <w:rPr xmlns:w="http://schemas.openxmlformats.org/wordprocessingml/2006/main">
          <w:rFonts w:ascii="Arial" w:cs="Arial" w:eastAsia="Arial" w:hAnsi="Arial"/>
          <w:sz w:val="15"/>
          <w:szCs w:val="15"/>
          <w:color w:val="auto"/>
        </w:rPr>
        <w:t xml:space="preserve"> Στη συνέχεια, επιλέγονται έως 100 τίτλοι με την υψηλότερη βαθμολογία έντασης και τη υψηλότερη μέση βαθμολογία συνεισφοράς που πληρούν τα κριτήρια ΠΚΔ για συμπερίληψη στο δείκτη.</w:t>
      </w:r>
      <w:r>
        <w:rPr xmlns:w="http://schemas.openxmlformats.org/wordprocessingml/2006/main">
          <w:rFonts w:ascii="Arial" w:cs="Arial" w:eastAsia="Arial" w:hAnsi="Arial"/>
          <w:sz w:val="15"/>
          <w:szCs w:val="15"/>
          <w:color w:val="auto"/>
        </w:rPr>
        <w:t xml:space="preserve"> Ο δείκτης ακολουθεί την προσέγγιση στάθμισης της αγοράς και οι μεμονωμένοι τίτλοι προσαρμόζονται στο 4,5% σε κάθε εξαμηνιαία βάση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9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επανεξισορρόπηση.</w:t>
      </w:r>
      <w:r>
        <w:rPr xmlns:w="http://schemas.openxmlformats.org/wordprocessingml/2006/main">
          <w:rFonts w:ascii="Arial" w:cs="Arial" w:eastAsia="Arial" w:hAnsi="Arial"/>
          <w:sz w:val="16"/>
          <w:szCs w:val="16"/>
          <w:color w:val="auto"/>
        </w:rPr>
        <w:t xml:space="preserve"> Ο δείκτης υπολογίζεται σε καθαρή βάση συνολικής απόδοσης.</w:t>
      </w:r>
      <w:r>
        <w:rPr xmlns:w="http://schemas.openxmlformats.org/wordprocessingml/2006/main">
          <w:rFonts w:ascii="Arial" w:cs="Arial" w:eastAsia="Arial" w:hAnsi="Arial"/>
          <w:sz w:val="16"/>
          <w:szCs w:val="16"/>
          <w:color w:val="auto"/>
        </w:rPr>
        <w:t xml:space="preserve"> Αυτό σημαίνει ότι όλα τα μερίσματα και οι διανομές από τις εταιρείες επανεπενδύονται στις μετοχές μετά τη φορολογία.</w:t>
      </w:r>
      <w:r>
        <w:rPr xmlns:w="http://schemas.openxmlformats.org/wordprocessingml/2006/main">
          <w:rFonts w:ascii="Arial" w:cs="Arial" w:eastAsia="Arial" w:hAnsi="Arial"/>
          <w:sz w:val="16"/>
          <w:szCs w:val="16"/>
          <w:color w:val="auto"/>
        </w:rPr>
        <w:t xml:space="preserve"> Ο δείκτης επανεξετάζεται και εξισορροπείται ανά εξάμηνο και μπορεί επίσης να επανισορροπείται σε άλλες χρονικές στιγμές, προκειμένου να αντικατοπτρίζει την εταιρική δραστηριότητα, όπως συγχωνεύσεις και εξαγορές.</w:t>
      </w:r>
      <w:r>
        <w:rPr xmlns:w="http://schemas.openxmlformats.org/wordprocessingml/2006/main">
          <w:rFonts w:ascii="Arial" w:cs="Arial" w:eastAsia="Arial" w:hAnsi="Arial"/>
          <w:sz w:val="16"/>
          <w:szCs w:val="16"/>
          <w:color w:val="auto"/>
        </w:rPr>
        <w:t xml:space="preserve"> Ο δείκτης υπολογίζεται σε δολάρια ΗΠΑ σε καθημερινή βάση.</w:t>
      </w:r>
      <w:r>
        <w:rPr xmlns:w="http://schemas.openxmlformats.org/wordprocessingml/2006/main">
          <w:rFonts w:ascii="Arial" w:cs="Arial" w:eastAsia="Arial" w:hAnsi="Arial"/>
          <w:sz w:val="16"/>
          <w:szCs w:val="16"/>
          <w:color w:val="auto"/>
        </w:rPr>
        <w:t xml:space="preserve"> Για να επιτευχθεί ο στόχος, το ταμείο θα επιχειρήσει να αναπαράγει τον δείκτη, πριν από τις αμοιβές και τα έξοδα, αγοράζοντας το σύνολο ή σημαντικό αριθμό τίτλων του δείκτη.</w:t>
      </w:r>
      <w:r>
        <w:rPr xmlns:w="http://schemas.openxmlformats.org/wordprocessingml/2006/main">
          <w:rFonts w:ascii="Arial" w:cs="Arial" w:eastAsia="Arial" w:hAnsi="Arial"/>
          <w:sz w:val="16"/>
          <w:szCs w:val="16"/>
          <w:color w:val="auto"/>
        </w:rPr>
        <w:t xml:space="preserve"> Το ταμείο μπορεί να χρησιμοποιεί τεχνικές και μέσα για τη διαχείριση των κινδύνων, τη μείωση των δαπανών και τη βελτίωση των αποτελεσμάτων.</w:t>
      </w:r>
      <w:r>
        <w:rPr xmlns:w="http://schemas.openxmlformats.org/wordprocessingml/2006/main">
          <w:rFonts w:ascii="Arial" w:cs="Arial" w:eastAsia="Arial" w:hAnsi="Arial"/>
          <w:sz w:val="16"/>
          <w:szCs w:val="16"/>
          <w:color w:val="auto"/>
        </w:rPr>
        <w:t xml:space="preserve"> Αυτές οι τεχνικές και τα μέσα μπορεί να περιλαμβάνουν τη χρήση χρηματοοικονομικών συμβάσεων (παράγωγα).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ταμείο μπορεί επίσης να προβεί σε εξασφαλισμένο δανεισμό των επενδύσεών του σε ορισμένα επιλέξιμα τρίτα μέρη, προκειμένου να δημιουργήσει πρόσθετα έσοδα για την αντιστάθμιση των δαπανών του ταμείου.</w:t>
      </w:r>
      <w:r>
        <w:rPr xmlns:w="http://schemas.openxmlformats.org/wordprocessingml/2006/main">
          <w:rFonts w:ascii="Arial" w:cs="Arial" w:eastAsia="Arial" w:hAnsi="Arial"/>
          <w:sz w:val="16"/>
          <w:szCs w:val="16"/>
          <w:color w:val="auto"/>
        </w:rPr>
        <w:t xml:space="preserve"> Ορισμένες πληροφορίες (συμπεριλαμβανομένων των πιο πρόσφατων τιμών μετοχών του ταμείου, ενδεικτικές καθαρές αξίες ενεργητικού, πλήρης γνωστοποίηση της σύνθεσης του χαρτοφυλακίου του ταμείου και πληροφορίες για τα στοιχεία του δείκτη) είναι διαθέσιμες στον τοπικό δικτυακό τόπο DWS ή στη διεύθυνση www.Xtrackers.com.</w:t>
      </w:r>
      <w:r>
        <w:rPr xmlns:w="http://schemas.openxmlformats.org/wordprocessingml/2006/main">
          <w:rFonts w:ascii="Arial" w:cs="Arial" w:eastAsia="Arial" w:hAnsi="Arial"/>
          <w:sz w:val="16"/>
          <w:szCs w:val="16"/>
          <w:color w:val="auto"/>
        </w:rPr>
        <w:t xml:space="preserve"> Τα κόστη και οι φόροι συναλλαγών, τα μη αναμενόμενα κόστη κεφαλαίων και οι συνθήκες της αγοράς, όπως η μεταβλητότητα ή ζητήματα ρευστότητας, ενδέχεται να επηρεάσουν την ικανότητα του ταμείου να παρακολουθεί τον δείκτη.</w:t>
      </w:r>
      <w:r>
        <w:rPr xmlns:w="http://schemas.openxmlformats.org/wordprocessingml/2006/main">
          <w:rFonts w:ascii="Arial" w:cs="Arial" w:eastAsia="Arial" w:hAnsi="Arial"/>
          <w:sz w:val="16"/>
          <w:szCs w:val="16"/>
          <w:color w:val="auto"/>
        </w:rPr>
        <w:t xml:space="preserve"> Το αναμενόμενο επίπεδο σφάλματος εντοπισμού στις κανονικές συνθήκες της αγοράς είναι 2 τοις εκατό.</w:t>
      </w:r>
      <w:r>
        <w:rPr xmlns:w="http://schemas.openxmlformats.org/wordprocessingml/2006/main">
          <w:rFonts w:ascii="Arial" w:cs="Arial" w:eastAsia="Arial" w:hAnsi="Arial"/>
          <w:sz w:val="16"/>
          <w:szCs w:val="16"/>
          <w:color w:val="auto"/>
        </w:rPr>
        <w:t xml:space="preserve"> Το νόμισμα του ταμείου είναι USD.</w:t>
      </w:r>
      <w:r>
        <w:rPr xmlns:w="http://schemas.openxmlformats.org/wordprocessingml/2006/main">
          <w:rFonts w:ascii="Arial" w:cs="Arial" w:eastAsia="Arial" w:hAnsi="Arial"/>
          <w:sz w:val="16"/>
          <w:szCs w:val="16"/>
          <w:color w:val="auto"/>
        </w:rPr>
        <w:t xml:space="preserve"> Οι αποδόσεις και τα κέρδη δεν διανέμονται αλλά επανεπενδύονται στο ταμείο.</w:t>
      </w:r>
      <w:r>
        <w:rPr xmlns:w="http://schemas.openxmlformats.org/wordprocessingml/2006/main">
          <w:rFonts w:ascii="Arial" w:cs="Arial" w:eastAsia="Arial" w:hAnsi="Arial"/>
          <w:sz w:val="16"/>
          <w:szCs w:val="16"/>
          <w:color w:val="auto"/>
        </w:rPr>
        <w:t xml:space="preserve"> Μπορείτε να ζητήσετε την εξόφληση των μετοχών γενικά σε καθημερινή βάση.</w:t>
      </w:r>
    </w:p>
    <w:p>
      <w:pPr>
        <w:spacing w:after="0" w:line="35" w:lineRule="exact"/>
        <w:rPr>
          <w:sz w:val="24"/>
          <w:szCs w:val="24"/>
          <w:color w:val="auto"/>
        </w:rPr>
      </w:pPr>
    </w:p>
    <w:p>
      <w:pPr>
        <w:sectPr>
          <w:pgSz w:w="11900" w:h="16838" w:orient="portrait"/>
          <w:cols w:equalWidth="0" w:num="2">
            <w:col w:w="4860" w:space="360"/>
            <w:col w:w="4800"/>
          </w:cols>
          <w:pgMar w:left="1020" w:top="626" w:right="866" w:bottom="195" w:gutter="0" w:footer="0" w:header="0"/>
          <w:type w:val="continuous"/>
        </w:sect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Προφίλ κινδύνου και ανταμοιβής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40005</wp:posOffset>
                </wp:positionV>
                <wp:extent cx="6396355"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3.15pt" to="504.75pt,3.15pt" o:allowincell="f" strokecolor="#EE7203" strokeweight="1.5pt"/>
            </w:pict>
          </mc:Fallback>
        </mc:AlternateContent>
      </w:r>
    </w:p>
    <w:p>
      <w:pPr>
        <w:sectPr>
          <w:pgSz w:w="11900" w:h="16838" w:orient="portrait"/>
          <w:cols w:equalWidth="0" w:num="1">
            <w:col w:w="10020"/>
          </w:cols>
          <w:pgMar w:left="1020" w:top="626" w:right="866" w:bottom="195" w:gutter="0" w:footer="0" w:header="0"/>
          <w:type w:val="continuous"/>
        </w:sectPr>
      </w:pPr>
    </w:p>
    <w:p>
      <w:pPr>
        <w:spacing w:after="0" w:line="132" w:lineRule="exact"/>
        <w:rPr>
          <w:sz w:val="24"/>
          <w:szCs w:val="24"/>
          <w:color w:val="auto"/>
        </w:rPr>
      </w:pPr>
    </w:p>
    <w:tbl>
      <w:tblPr>
        <w:tblLayout w:type="fixed"/>
        <w:tblInd w:w="110" w:type="dxa"/>
        <w:tblCellMar>
          <w:top w:w="0" w:type="dxa"/>
          <w:left w:w="0" w:type="dxa"/>
          <w:bottom w:w="0" w:type="dxa"/>
          <w:right w:w="0" w:type="dxa"/>
        </w:tblCellMar>
      </w:tblPr>
      <w:tr>
        <w:trPr>
          <w:trHeight w:val="133"/>
        </w:trPr>
        <w:tc>
          <w:tcPr>
            <w:tcW w:w="840" w:type="dxa"/>
            <w:vAlign w:val="bottom"/>
            <w:gridSpan w:val="2"/>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0"/>
                <w:szCs w:val="10"/>
                <w:color w:val="auto"/>
              </w:rPr>
              <w:t xml:space="preserve">Μείωση κινδύνου</w:t>
            </w: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80" w:type="dxa"/>
            <w:vAlign w:val="bottom"/>
            <w:gridSpan w:val="2"/>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0"/>
                <w:szCs w:val="10"/>
                <w:color w:val="auto"/>
              </w:rPr>
              <w:t xml:space="preserve">Υψηλότερος κίνδυνος</w:t>
            </w:r>
          </w:p>
        </w:tc>
      </w:tr>
      <w:tr>
        <w:trPr>
          <w:trHeight w:val="322"/>
        </w:trPr>
        <w:tc>
          <w:tcPr>
            <w:tcW w:w="1480" w:type="dxa"/>
            <w:vAlign w:val="bottom"/>
            <w:gridSpan w:val="4"/>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0"/>
                <w:szCs w:val="10"/>
                <w:color w:val="auto"/>
              </w:rPr>
              <w:t xml:space="preserve">Ενδεχομένως χαμηλότερη ανταμοιβή</w:t>
            </w:r>
          </w:p>
        </w:tc>
        <w:tc>
          <w:tcPr>
            <w:tcW w:w="5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500" w:type="dxa"/>
            <w:vAlign w:val="bottom"/>
            <w:gridSpan w:val="4"/>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0"/>
                <w:szCs w:val="10"/>
                <w:color w:val="auto"/>
              </w:rPr>
              <w:t xml:space="preserve">Ενδεχομένως υψηλότερη ανταμοιβή</w:t>
            </w:r>
          </w:p>
        </w:tc>
      </w:tr>
      <w:tr>
        <w:trPr>
          <w:trHeight w:val="44"/>
        </w:trPr>
        <w:tc>
          <w:tcPr>
            <w:tcW w:w="620" w:type="dxa"/>
            <w:vAlign w:val="bottom"/>
            <w:tcBorders>
              <w:bottom w:val="single" w:sz="8" w:color="auto"/>
            </w:tcBorders>
          </w:tcPr>
          <w:p>
            <w:pPr>
              <w:spacing w:after="0"/>
              <w:rPr>
                <w:sz w:val="3"/>
                <w:szCs w:val="3"/>
                <w:color w:val="auto"/>
              </w:rPr>
            </w:pPr>
          </w:p>
        </w:tc>
        <w:tc>
          <w:tcPr>
            <w:tcW w:w="220" w:type="dxa"/>
            <w:vAlign w:val="bottom"/>
            <w:tcBorders>
              <w:bottom w:val="single" w:sz="8" w:color="auto"/>
            </w:tcBorders>
          </w:tcPr>
          <w:p>
            <w:pPr>
              <w:spacing w:after="0"/>
              <w:rPr>
                <w:sz w:val="3"/>
                <w:szCs w:val="3"/>
                <w:color w:val="auto"/>
              </w:rPr>
            </w:pPr>
          </w:p>
        </w:tc>
        <w:tc>
          <w:tcPr>
            <w:tcW w:w="480" w:type="dxa"/>
            <w:vAlign w:val="bottom"/>
            <w:tcBorders>
              <w:bottom w:val="single" w:sz="8" w:color="auto"/>
            </w:tcBorders>
          </w:tcPr>
          <w:p>
            <w:pPr>
              <w:spacing w:after="0"/>
              <w:rPr>
                <w:sz w:val="3"/>
                <w:szCs w:val="3"/>
                <w:color w:val="auto"/>
              </w:rPr>
            </w:pPr>
          </w:p>
        </w:tc>
        <w:tc>
          <w:tcPr>
            <w:tcW w:w="16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460" w:type="dxa"/>
            <w:vAlign w:val="bottom"/>
            <w:tcBorders>
              <w:bottom w:val="single" w:sz="8" w:color="auto"/>
            </w:tcBorders>
          </w:tcPr>
          <w:p>
            <w:pPr>
              <w:spacing w:after="0"/>
              <w:rPr>
                <w:sz w:val="3"/>
                <w:szCs w:val="3"/>
                <w:color w:val="auto"/>
              </w:rPr>
            </w:pPr>
          </w:p>
        </w:tc>
        <w:tc>
          <w:tcPr>
            <w:tcW w:w="180" w:type="dxa"/>
            <w:vAlign w:val="bottom"/>
            <w:tcBorders>
              <w:bottom w:val="single" w:sz="8" w:color="auto"/>
            </w:tcBorders>
          </w:tcPr>
          <w:p>
            <w:pPr>
              <w:spacing w:after="0"/>
              <w:rPr>
                <w:sz w:val="3"/>
                <w:szCs w:val="3"/>
                <w:color w:val="auto"/>
              </w:rPr>
            </w:pPr>
          </w:p>
        </w:tc>
        <w:tc>
          <w:tcPr>
            <w:tcW w:w="440" w:type="dxa"/>
            <w:vAlign w:val="bottom"/>
            <w:tcBorders>
              <w:bottom w:val="single" w:sz="8" w:color="auto"/>
            </w:tcBorders>
          </w:tcPr>
          <w:p>
            <w:pPr>
              <w:spacing w:after="0"/>
              <w:rPr>
                <w:sz w:val="3"/>
                <w:szCs w:val="3"/>
                <w:color w:val="auto"/>
              </w:rPr>
            </w:pPr>
          </w:p>
        </w:tc>
        <w:tc>
          <w:tcPr>
            <w:tcW w:w="22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r>
      <w:tr>
        <w:trPr>
          <w:trHeight w:val="210"/>
        </w:trPr>
        <w:tc>
          <w:tcPr>
            <w:tcW w:w="620" w:type="dxa"/>
            <w:vAlign w:val="bottom"/>
            <w:tcBorders>
              <w:left w:val="single" w:sz="8" w:color="auto"/>
              <w:bottom w:val="single" w:sz="8" w:color="auto"/>
              <w:right w:val="single" w:sz="8" w:color="auto"/>
            </w:tcBorders>
          </w:tcPr>
          <w:p>
            <w:pPr xmlns:w="http://schemas.openxmlformats.org/wordprocessingml/2006/main">
              <w:jc w:val="right"/>
              <w:ind w:right="197"/>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1</w:t>
            </w:r>
          </w:p>
        </w:tc>
        <w:tc>
          <w:tcPr>
            <w:tcW w:w="220" w:type="dxa"/>
            <w:vAlign w:val="bottom"/>
            <w:tcBorders>
              <w:bottom w:val="single" w:sz="8" w:color="auto"/>
            </w:tcBorders>
          </w:tcPr>
          <w:p>
            <w:pPr>
              <w:spacing w:after="0"/>
              <w:rPr>
                <w:sz w:val="18"/>
                <w:szCs w:val="18"/>
                <w:color w:val="auto"/>
              </w:rPr>
            </w:pPr>
          </w:p>
        </w:tc>
        <w:tc>
          <w:tcPr>
            <w:tcW w:w="480" w:type="dxa"/>
            <w:vAlign w:val="bottom"/>
            <w:tcBorders>
              <w:bottom w:val="single" w:sz="8" w:color="auto"/>
              <w:right w:val="single" w:sz="8" w:color="auto"/>
            </w:tcBorders>
          </w:tcPr>
          <w:p>
            <w:pPr xmlns:w="http://schemas.openxmlformats.org/wordprocessingml/2006/main">
              <w:jc w:val="right"/>
              <w:ind w:right="23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2</w:t>
            </w:r>
          </w:p>
        </w:tc>
        <w:tc>
          <w:tcPr>
            <w:tcW w:w="16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xmlns:w="http://schemas.openxmlformats.org/wordprocessingml/2006/main">
              <w:jc w:val="right"/>
              <w:ind w:right="23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3</w:t>
            </w:r>
          </w:p>
        </w:tc>
        <w:tc>
          <w:tcPr>
            <w:tcW w:w="660" w:type="dxa"/>
            <w:vAlign w:val="bottom"/>
            <w:tcBorders>
              <w:bottom w:val="single" w:sz="8" w:color="auto"/>
              <w:right w:val="single" w:sz="8" w:color="auto"/>
            </w:tcBorders>
          </w:tcPr>
          <w:p>
            <w:pPr xmlns:w="http://schemas.openxmlformats.org/wordprocessingml/2006/main">
              <w:jc w:val="right"/>
              <w:ind w:right="2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4</w:t>
            </w:r>
          </w:p>
        </w:tc>
        <w:tc>
          <w:tcPr>
            <w:tcW w:w="460" w:type="dxa"/>
            <w:vAlign w:val="bottom"/>
            <w:tcBorders>
              <w:bottom w:val="single" w:sz="8" w:color="auto"/>
            </w:tcBorders>
          </w:tcPr>
          <w:p>
            <w:pPr xmlns:w="http://schemas.openxmlformats.org/wordprocessingml/2006/main">
              <w:jc w:val="right"/>
              <w:ind w:right="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5</w:t>
            </w:r>
          </w:p>
        </w:tc>
        <w:tc>
          <w:tcPr>
            <w:tcW w:w="180" w:type="dxa"/>
            <w:vAlign w:val="bottom"/>
            <w:tcBorders>
              <w:bottom w:val="single" w:sz="8" w:color="auto"/>
              <w:right w:val="single" w:sz="8" w:color="auto"/>
            </w:tcBorders>
          </w:tcPr>
          <w:p>
            <w:pPr>
              <w:spacing w:after="0"/>
              <w:rPr>
                <w:sz w:val="18"/>
                <w:szCs w:val="18"/>
                <w:color w:val="auto"/>
              </w:rPr>
            </w:pPr>
          </w:p>
        </w:tc>
        <w:tc>
          <w:tcPr>
            <w:tcW w:w="440" w:type="dxa"/>
            <w:vAlign w:val="bottom"/>
            <w:tcBorders>
              <w:bottom w:val="single" w:sz="8" w:color="auto"/>
            </w:tcBorders>
          </w:tcPr>
          <w:p>
            <w:pPr xmlns:w="http://schemas.openxmlformats.org/wordprocessingml/2006/main">
              <w:jc w:val="right"/>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6</w:t>
            </w:r>
          </w:p>
        </w:tc>
        <w:tc>
          <w:tcPr>
            <w:tcW w:w="220" w:type="dxa"/>
            <w:vAlign w:val="bottom"/>
            <w:tcBorders>
              <w:bottom w:val="single" w:sz="8" w:color="auto"/>
              <w:right w:val="single" w:sz="8" w:color="auto"/>
            </w:tcBorders>
          </w:tcPr>
          <w:p>
            <w:pPr>
              <w:spacing w:after="0"/>
              <w:rPr>
                <w:sz w:val="18"/>
                <w:szCs w:val="18"/>
                <w:color w:val="auto"/>
              </w:rPr>
            </w:pPr>
          </w:p>
        </w:tc>
        <w:tc>
          <w:tcPr>
            <w:tcW w:w="680" w:type="dxa"/>
            <w:vAlign w:val="bottom"/>
            <w:tcBorders>
              <w:bottom w:val="single" w:sz="8" w:color="auto"/>
              <w:right w:val="single" w:sz="8" w:color="auto"/>
            </w:tcBorders>
          </w:tcPr>
          <w:p>
            <w:pPr xmlns:w="http://schemas.openxmlformats.org/wordprocessingml/2006/main">
              <w:jc w:val="right"/>
              <w:ind w:right="2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7</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2170430</wp:posOffset>
            </wp:positionH>
            <wp:positionV relativeFrom="paragraph">
              <wp:posOffset>-145415</wp:posOffset>
            </wp:positionV>
            <wp:extent cx="407035" cy="139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07035" cy="139700"/>
                    </a:xfrm>
                    <a:prstGeom prst="rect">
                      <a:avLst/>
                    </a:prstGeom>
                    <a:noFill/>
                  </pic:spPr>
                </pic:pic>
              </a:graphicData>
            </a:graphic>
          </wp:anchor>
        </w:drawing>
        <w:drawing>
          <wp:anchor simplePos="0" relativeHeight="251657728" behindDoc="1" locked="0" layoutInCell="0" allowOverlap="1">
            <wp:simplePos x="0" y="0"/>
            <wp:positionH relativeFrom="column">
              <wp:posOffset>2881630</wp:posOffset>
            </wp:positionH>
            <wp:positionV relativeFrom="paragraph">
              <wp:posOffset>-385445</wp:posOffset>
            </wp:positionV>
            <wp:extent cx="121920" cy="1136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1920" cy="113665"/>
                    </a:xfrm>
                    <a:prstGeom prst="rect">
                      <a:avLst/>
                    </a:prstGeom>
                    <a:noFill/>
                  </pic:spPr>
                </pic:pic>
              </a:graphicData>
            </a:graphic>
          </wp:anchor>
        </w:drawing>
        <w:drawing>
          <wp:anchor simplePos="0" relativeHeight="251657728" behindDoc="1" locked="0" layoutInCell="0" allowOverlap="1">
            <wp:simplePos x="0" y="0"/>
            <wp:positionH relativeFrom="column">
              <wp:posOffset>71755</wp:posOffset>
            </wp:positionH>
            <wp:positionV relativeFrom="paragraph">
              <wp:posOffset>-384810</wp:posOffset>
            </wp:positionV>
            <wp:extent cx="121920" cy="1136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1920" cy="113665"/>
                    </a:xfrm>
                    <a:prstGeom prst="rect">
                      <a:avLst/>
                    </a:prstGeom>
                    <a:noFill/>
                  </pic:spPr>
                </pic:pic>
              </a:graphicData>
            </a:graphic>
          </wp:anchor>
        </w:drawing>
        <w:drawing>
          <wp:anchor simplePos="0" relativeHeight="251657728" behindDoc="1" locked="0" layoutInCell="0" allowOverlap="1">
            <wp:simplePos x="0" y="0"/>
            <wp:positionH relativeFrom="column">
              <wp:posOffset>920750</wp:posOffset>
            </wp:positionH>
            <wp:positionV relativeFrom="paragraph">
              <wp:posOffset>-332740</wp:posOffset>
            </wp:positionV>
            <wp:extent cx="1154430" cy="127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154430" cy="12700"/>
                    </a:xfrm>
                    <a:prstGeom prst="rect">
                      <a:avLst/>
                    </a:prstGeom>
                    <a:noFill/>
                  </pic:spPr>
                </pic:pic>
              </a:graphicData>
            </a:graphic>
          </wp:anchor>
        </w:drawing>
      </w:r>
    </w:p>
    <w:p>
      <w:pPr>
        <w:spacing w:after="0" w:line="176" w:lineRule="exact"/>
        <w:rPr>
          <w:sz w:val="24"/>
          <w:szCs w:val="24"/>
          <w:color w:val="auto"/>
        </w:rPr>
      </w:pPr>
    </w:p>
    <w:p>
      <w:pPr xmlns:w="http://schemas.openxmlformats.org/wordprocessingml/2006/main">
        <w:jc w:val="both"/>
        <w:ind w:left="6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Ο υπολογισμός του προφίλ κινδύνου και απόδοσης βασίζεται σε προσομοιωμένα δεδομένα που δεν μπορούν να χρησιμοποιηθούν ως αξιόπιστος δείκτης για το μελλοντικό προφίλ κινδύνου.</w:t>
      </w:r>
      <w:r>
        <w:rPr xmlns:w="http://schemas.openxmlformats.org/wordprocessingml/2006/main">
          <w:rFonts w:ascii="Arial" w:cs="Arial" w:eastAsia="Arial" w:hAnsi="Arial"/>
          <w:sz w:val="16"/>
          <w:szCs w:val="16"/>
          <w:color w:val="auto"/>
        </w:rPr>
        <w:t xml:space="preserve"> Ο εν λόγω δείκτης κινδύνου υπόκειται σε αλλαγές·</w:t>
      </w:r>
      <w:r>
        <w:rPr xmlns:w="http://schemas.openxmlformats.org/wordprocessingml/2006/main">
          <w:rFonts w:ascii="Arial" w:cs="Arial" w:eastAsia="Arial" w:hAnsi="Arial"/>
          <w:sz w:val="16"/>
          <w:szCs w:val="16"/>
          <w:color w:val="auto"/>
        </w:rPr>
        <w:t xml:space="preserve"> η ταξινόμηση του ταμείου μπορεί να μεταβληθεί με την πάροδο του χρόνου και δεν μπορεί να διασφαλιστεί.</w:t>
      </w:r>
      <w:r>
        <w:rPr xmlns:w="http://schemas.openxmlformats.org/wordprocessingml/2006/main">
          <w:rFonts w:ascii="Arial" w:cs="Arial" w:eastAsia="Arial" w:hAnsi="Arial"/>
          <w:sz w:val="16"/>
          <w:szCs w:val="16"/>
          <w:color w:val="auto"/>
        </w:rPr>
        <w:t xml:space="preserve"> Ακόμη και ένα κεφάλαιο που κατατάσσεται στη χαμηλότερη κατηγορία (κατηγορία 1) δεν αντιπροσωπεύει μια εντελώς απαλλαγμένη από κινδύνους επένδυση.</w:t>
      </w:r>
      <w:r>
        <w:rPr xmlns:w="http://schemas.openxmlformats.org/wordprocessingml/2006/main">
          <w:rFonts w:ascii="Arial" w:cs="Arial" w:eastAsia="Arial" w:hAnsi="Arial"/>
          <w:sz w:val="16"/>
          <w:szCs w:val="16"/>
          <w:color w:val="auto"/>
        </w:rPr>
        <w:t xml:space="preserve"> Το κεφάλαιο ταξινομείται στην κατηγορία 6, επειδή η τιμή της μετοχής του μπορεί να κυμαίνεται έντονα και η πιθανότητα τόσο ζημιών όσο και κερδών μπορεί, συνεπώς, να είναι υψηλή.</w:t>
      </w:r>
      <w:r>
        <w:rPr xmlns:w="http://schemas.openxmlformats.org/wordprocessingml/2006/main">
          <w:rFonts w:ascii="Arial" w:cs="Arial" w:eastAsia="Arial" w:hAnsi="Arial"/>
          <w:sz w:val="16"/>
          <w:szCs w:val="16"/>
          <w:color w:val="auto"/>
        </w:rPr>
        <w:t xml:space="preserve"> Οι ακόλουθοι κίνδυνοι θα μπορούσαν να έχουν ιδιαίτερη σημασία για το ταμείο:</w:t>
      </w:r>
      <w:r>
        <w:rPr xmlns:w="http://schemas.openxmlformats.org/wordprocessingml/2006/main">
          <w:rFonts w:ascii="Arial" w:cs="Arial" w:eastAsia="Arial" w:hAnsi="Arial"/>
          <w:sz w:val="16"/>
          <w:szCs w:val="16"/>
          <w:color w:val="auto"/>
        </w:rPr>
        <w:t xml:space="preserve"> Το ταμείο θα προσπαθήσει να αναπαράγει την απόδοση του δείκτη μείον το κόστος, αλλά η επένδυσή σας δεν αναμένεται να αντιστοιχεί επακριβώς στην απόδοση του δείκτη.</w:t>
      </w:r>
      <w:r>
        <w:rPr xmlns:w="http://schemas.openxmlformats.org/wordprocessingml/2006/main">
          <w:rFonts w:ascii="Arial" w:cs="Arial" w:eastAsia="Arial" w:hAnsi="Arial"/>
          <w:sz w:val="16"/>
          <w:szCs w:val="16"/>
          <w:color w:val="auto"/>
        </w:rPr>
        <w:t xml:space="preserve"> Ενδέχεται να προκύψουν εξαιρετικές περιστάσεις, όπως, μεταξύ άλλων, συνθήκες διαταραχής της αγοράς, πρόσθετο κόστος/φόροι ή εξαιρετικά ασταθείς αγορές, οι οποίες μπορεί να προκαλέσουν σημαντική διαφοροποίηση της απόδοσης του ταμείου από την απόδοση του δείκτη.</w:t>
      </w:r>
      <w:r>
        <w:rPr xmlns:w="http://schemas.openxmlformats.org/wordprocessingml/2006/main">
          <w:rFonts w:ascii="Arial" w:cs="Arial" w:eastAsia="Arial" w:hAnsi="Arial"/>
          <w:sz w:val="16"/>
          <w:szCs w:val="16"/>
          <w:color w:val="auto"/>
        </w:rPr>
        <w:t xml:space="preserve"> Οι οντότητες DWS και οι συνδεδεμένες εταιρείες μπορούν να ενεργούν σε διάφορους ρόλους σε σχέση με το ταμείο, όπως ο διανομέας και η εταιρεία διαχείρισης, γεγονός που μπορεί να συνεπάγεται συγκρούσεις συμφερόντων.</w:t>
      </w:r>
      <w:r>
        <w:rPr xmlns:w="http://schemas.openxmlformats.org/wordprocessingml/2006/main">
          <w:rFonts w:ascii="Arial" w:cs="Arial" w:eastAsia="Arial" w:hAnsi="Arial"/>
          <w:sz w:val="16"/>
          <w:szCs w:val="16"/>
          <w:color w:val="auto"/>
        </w:rPr>
        <w:t xml:space="preserve"> Το ταμείο δεν είναι εγγυημένο και η επένδυσή σας κινδυνεύει.</w:t>
      </w:r>
      <w:r>
        <w:rPr xmlns:w="http://schemas.openxmlformats.org/wordprocessingml/2006/main">
          <w:rFonts w:ascii="Arial" w:cs="Arial" w:eastAsia="Arial" w:hAnsi="Arial"/>
          <w:sz w:val="16"/>
          <w:szCs w:val="16"/>
          <w:color w:val="auto"/>
        </w:rPr>
        <w:t xml:space="preserve"> Η αξία της επένδυσής σας μπορεί να μειωθεί και να αυξηθεί.</w:t>
      </w:r>
      <w:r>
        <w:rPr xmlns:w="http://schemas.openxmlformats.org/wordprocessingml/2006/main">
          <w:rFonts w:ascii="Arial" w:cs="Arial" w:eastAsia="Arial" w:hAnsi="Arial"/>
          <w:sz w:val="16"/>
          <w:szCs w:val="16"/>
          <w:color w:val="auto"/>
        </w:rPr>
        <w:t xml:space="preserve"> Η αξία μιας επένδυσης σε μετοχές θα εξαρτηθεί από διάφορους παράγοντες, συμπεριλαμβανομένων, αλλά όχι μόνο, των συνθηκών της αγοράς και της οικονομίας, του τομέα, της γεωγραφικής περιοχής και των πολιτικών γεγονότων.</w:t>
      </w:r>
      <w:r>
        <w:rPr xmlns:w="http://schemas.openxmlformats.org/wordprocessingml/2006/main">
          <w:rFonts w:ascii="Arial" w:cs="Arial" w:eastAsia="Arial" w:hAnsi="Arial"/>
          <w:sz w:val="16"/>
          <w:szCs w:val="16"/>
          <w:color w:val="auto"/>
        </w:rPr>
        <w:t xml:space="preserve"> Το Ταμείο εστιάζεται σε ένα μόνο ή περιορισμένο φάσμα βιομηχανιών, τομέων ή ειδών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8" w:lineRule="exact"/>
        <w:rPr>
          <w:sz w:val="24"/>
          <w:szCs w:val="24"/>
          <w:color w:val="auto"/>
        </w:rPr>
      </w:pPr>
    </w:p>
    <w:p>
      <w:pPr xmlns:w="http://schemas.openxmlformats.org/wordprocessingml/2006/main">
        <w:jc w:val="both"/>
        <w:ind w:right="40"/>
        <w:spacing w:after="0"/>
        <w:rPr>
          <w:sz w:val="20"/>
          <w:szCs w:val="20"/>
          <w:color w:val="auto"/>
        </w:rPr>
      </w:pPr>
      <w:r>
        <w:rPr xmlns:w="http://schemas.openxmlformats.org/wordprocessingml/2006/main">
          <w:rFonts w:ascii="Arial" w:cs="Arial" w:eastAsia="Arial" w:hAnsi="Arial"/>
          <w:sz w:val="16"/>
          <w:szCs w:val="16"/>
          <w:color w:val="auto"/>
        </w:rPr>
        <w:t xml:space="preserve">οι επιχειρήσεις και οι επιδόσεις ενδέχεται να μην αντανακλούν μια αύξηση στις ευρύτερες αγορές.</w:t>
      </w:r>
      <w:r>
        <w:rPr xmlns:w="http://schemas.openxmlformats.org/wordprocessingml/2006/main">
          <w:rFonts w:ascii="Arial" w:cs="Arial" w:eastAsia="Arial" w:hAnsi="Arial"/>
          <w:sz w:val="16"/>
          <w:szCs w:val="16"/>
          <w:color w:val="auto"/>
        </w:rPr>
        <w:t xml:space="preserve"> Τα κριτήρια ελέγχου ΠΚΔ ενσωματώνονται στη διαδικασία επιλογής του δείκτη, η οποία αποσκοπεί στον αποκλεισμό των τίτλων που εκδίδονται από εταιρείες που συμμετέχουν σε ορισμένες δραστηριότητες.</w:t>
      </w:r>
      <w:r>
        <w:rPr xmlns:w="http://schemas.openxmlformats.org/wordprocessingml/2006/main">
          <w:rFonts w:ascii="Arial" w:cs="Arial" w:eastAsia="Arial" w:hAnsi="Arial"/>
          <w:sz w:val="16"/>
          <w:szCs w:val="16"/>
          <w:color w:val="auto"/>
        </w:rPr>
        <w:t xml:space="preserve"> Ο διαχειριστής επενδύσεων και ο διαχειριστής υποχαρτοφυλακίου δεν είναι υπεύθυνοι για την παρακολούθηση της διαδικασίας ελέγχου ή για την επιβεβαίωση ότι όλοι οι τίτλοι που περνούν επιτυχώς τη διαδικασία ελέγχου εκδίδονται από εταιρείες με επαρκή πρότυπα ΠΚΔ.</w:t>
      </w:r>
      <w:r>
        <w:rPr xmlns:w="http://schemas.openxmlformats.org/wordprocessingml/2006/main">
          <w:rFonts w:ascii="Arial" w:cs="Arial" w:eastAsia="Arial" w:hAnsi="Arial"/>
          <w:sz w:val="16"/>
          <w:szCs w:val="16"/>
          <w:color w:val="auto"/>
        </w:rPr>
        <w:t xml:space="preserve"> Η εταιρεία βασίζεται αποκλειστικά στις δραστηριότητες που διεξάγονται και τις πληροφορίες που παρέχονται από τον διαχειριστή του δείκτη ή άλλους παρόχους δεδομένων για τον έλεγχο ασφαλείας ESG.</w:t>
      </w:r>
      <w:r>
        <w:rPr xmlns:w="http://schemas.openxmlformats.org/wordprocessingml/2006/main">
          <w:rFonts w:ascii="Arial" w:cs="Arial" w:eastAsia="Arial" w:hAnsi="Arial"/>
          <w:sz w:val="16"/>
          <w:szCs w:val="16"/>
          <w:color w:val="auto"/>
        </w:rPr>
        <w:t xml:space="preserve"> Οι πληροφορίες ΠΚΔ από τρίτους παρόχους δεδομένων ενδέχεται να είναι ελλιπείς, ανακριβείς ή μη διαθέσιμες.</w:t>
      </w:r>
      <w:r>
        <w:rPr xmlns:w="http://schemas.openxmlformats.org/wordprocessingml/2006/main">
          <w:rFonts w:ascii="Arial" w:cs="Arial" w:eastAsia="Arial" w:hAnsi="Arial"/>
          <w:sz w:val="16"/>
          <w:szCs w:val="16"/>
          <w:color w:val="auto"/>
        </w:rPr>
        <w:t xml:space="preserve"> Κατά συνέπεια, υπάρχει κίνδυνος ο διαχειριστής του δείκτη να αξιολογήσει εσφαλμένα έναν τίτλο ή εκδότη, με αποτέλεσμα την εσφαλμένη συμπερίληψη ή εξαίρεση ενός τίτλου στον δείκτη.</w:t>
      </w:r>
      <w:r>
        <w:rPr xmlns:w="http://schemas.openxmlformats.org/wordprocessingml/2006/main">
          <w:rFonts w:ascii="Arial" w:cs="Arial" w:eastAsia="Arial" w:hAnsi="Arial"/>
          <w:sz w:val="16"/>
          <w:szCs w:val="16"/>
          <w:color w:val="auto"/>
        </w:rPr>
        <w:t xml:space="preserve"> Το ταμείο είναι εκτεθειμένο σε λιγότερο ανεπτυγμένες οικονομικά οικονομίες (γνωστές ως αναδυόμενες αγορές), οι οποίες ενέχουν μεγαλύτερους κινδύνους από ό,τι οι καλά αναπτυγμένες οικονομίες.</w:t>
      </w:r>
      <w:r>
        <w:rPr xmlns:w="http://schemas.openxmlformats.org/wordprocessingml/2006/main">
          <w:rFonts w:ascii="Arial" w:cs="Arial" w:eastAsia="Arial" w:hAnsi="Arial"/>
          <w:sz w:val="16"/>
          <w:szCs w:val="16"/>
          <w:color w:val="auto"/>
        </w:rPr>
        <w:t xml:space="preserve"> Η πολιτική αναταραχή και η οικονομική ύφεση μπορεί να είναι πιο πιθανές και θα επηρεάσουν την αξία της επένδυσής σας.</w:t>
      </w:r>
      <w:r>
        <w:rPr xmlns:w="http://schemas.openxmlformats.org/wordprocessingml/2006/main">
          <w:rFonts w:ascii="Arial" w:cs="Arial" w:eastAsia="Arial" w:hAnsi="Arial"/>
          <w:sz w:val="16"/>
          <w:szCs w:val="16"/>
          <w:color w:val="auto"/>
        </w:rPr>
        <w:t xml:space="preserve"> Ο δείκτης βασίζεται σε κανόνες και δεν μπορεί να προσαρμοστεί στις μεταβαλλόμενες συνθήκες της αγοράς.</w:t>
      </w:r>
      <w:r>
        <w:rPr xmlns:w="http://schemas.openxmlformats.org/wordprocessingml/2006/main">
          <w:rFonts w:ascii="Arial" w:cs="Arial" w:eastAsia="Arial" w:hAnsi="Arial"/>
          <w:sz w:val="16"/>
          <w:szCs w:val="16"/>
          <w:color w:val="auto"/>
        </w:rPr>
        <w:t xml:space="preserve"> Ως αποτέλεσμα, μπορεί να επηρεαστείτε αρνητικά ή να μην επωφεληθείτε από την έλλειψη τέτοιων προσαρμογών στις μεταβαλλόμενες συνθήκες της αγοράς.</w:t>
      </w:r>
      <w:r>
        <w:rPr xmlns:w="http://schemas.openxmlformats.org/wordprocessingml/2006/main">
          <w:rFonts w:ascii="Arial" w:cs="Arial" w:eastAsia="Arial" w:hAnsi="Arial"/>
          <w:sz w:val="16"/>
          <w:szCs w:val="16"/>
          <w:color w:val="auto"/>
        </w:rPr>
        <w:t xml:space="preserve"> Το ταμείο μπορεί να χρησιμοποιήσει παράγωγα για να προσπαθήσει να διαχειριστεί τις επενδύσεις του πιο αποτελεσματικά.</w:t>
      </w:r>
      <w:r>
        <w:rPr xmlns:w="http://schemas.openxmlformats.org/wordprocessingml/2006/main">
          <w:rFonts w:ascii="Arial" w:cs="Arial" w:eastAsia="Arial" w:hAnsi="Arial"/>
          <w:sz w:val="16"/>
          <w:szCs w:val="16"/>
          <w:color w:val="auto"/>
        </w:rPr>
        <w:t xml:space="preserve"> Αυτό μπορεί να μην είναι πάντα επιτυχές και μπορεί να οδηγήσει σε μεγαλύτερες διακυμάνσεις της αξίας του ταμείου.</w:t>
      </w:r>
      <w:r>
        <w:rPr xmlns:w="http://schemas.openxmlformats.org/wordprocessingml/2006/main">
          <w:rFonts w:ascii="Arial" w:cs="Arial" w:eastAsia="Arial" w:hAnsi="Arial"/>
          <w:sz w:val="16"/>
          <w:szCs w:val="16"/>
          <w:color w:val="auto"/>
        </w:rPr>
        <w:t xml:space="preserve"> Αυτό μπορεί να επηρεάσει αρνητικά την αξία του ταμείου και την επένδυσή σας.</w:t>
      </w:r>
    </w:p>
    <w:p>
      <w:pPr>
        <w:spacing w:after="0" w:line="16" w:lineRule="exact"/>
        <w:rPr>
          <w:sz w:val="24"/>
          <w:szCs w:val="24"/>
          <w:color w:val="auto"/>
        </w:rPr>
      </w:pPr>
    </w:p>
    <w:p>
      <w:pPr xmlns:w="http://schemas.openxmlformats.org/wordprocessingml/2006/main">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Λεπτομερέστερη περιγραφή των κινδύνων και άλλων γενικών πληροφοριών παρέχεται στο τμήμα ή στα τμήματα κινδύνου του ενημερωτικού δελτίου.</w:t>
      </w:r>
    </w:p>
    <w:p>
      <w:pPr>
        <w:spacing w:after="0" w:line="200" w:lineRule="exact"/>
        <w:rPr>
          <w:sz w:val="24"/>
          <w:szCs w:val="24"/>
          <w:color w:val="auto"/>
        </w:rPr>
      </w:pPr>
    </w:p>
    <w:p>
      <w:pPr>
        <w:sectPr>
          <w:pgSz w:w="11900" w:h="16838" w:orient="portrait"/>
          <w:cols w:equalWidth="0" w:num="2">
            <w:col w:w="4820" w:space="400"/>
            <w:col w:w="4800"/>
          </w:cols>
          <w:pgMar w:left="1020" w:top="626" w:right="866" w:bottom="195" w:gutter="0" w:footer="0" w:header="0"/>
          <w:type w:val="continuous"/>
        </w:sectPr>
      </w:pPr>
    </w:p>
    <w:p>
      <w:pPr>
        <w:spacing w:after="0" w:line="4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Χρεώσεις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32385</wp:posOffset>
                </wp:positionV>
                <wp:extent cx="639635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2.55pt" to="504.75pt,2.55pt" o:allowincell="f" strokecolor="#EE7203" strokeweight="1.5pt"/>
            </w:pict>
          </mc:Fallback>
        </mc:AlternateContent>
      </w:r>
    </w:p>
    <w:p>
      <w:pPr>
        <w:spacing w:after="0" w:line="96" w:lineRule="exact"/>
        <w:rPr>
          <w:sz w:val="24"/>
          <w:szCs w:val="24"/>
          <w:color w:val="auto"/>
        </w:rPr>
      </w:pPr>
    </w:p>
    <w:p>
      <w:pPr xmlns:w="http://schemas.openxmlformats.org/wordprocessingml/2006/main">
        <w:ind w:left="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-2540</wp:posOffset>
            </wp:positionV>
            <wp:extent cx="3599815" cy="12255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extLst>
                    </a:blip>
                    <a:srcRect/>
                    <a:stretch>
                      <a:fillRect/>
                    </a:stretch>
                  </pic:blipFill>
                  <pic:spPr bwMode="auto">
                    <a:xfrm>
                      <a:off x="0" y="0"/>
                      <a:ext cx="3599815" cy="1225550"/>
                    </a:xfrm>
                    <a:prstGeom prst="rect">
                      <a:avLst/>
                    </a:prstGeom>
                    <a:noFill/>
                  </pic:spPr>
                </pic:pic>
              </a:graphicData>
            </a:graphic>
          </wp:anchor>
        </w:drawing>
      </w:r>
    </w:p>
    <w:p>
      <w:pPr>
        <w:sectPr>
          <w:pgSz w:w="11900" w:h="16838" w:orient="portrait"/>
          <w:cols w:equalWidth="0" w:num="1">
            <w:col w:w="10020"/>
          </w:cols>
          <w:pgMar w:left="1020" w:top="626" w:right="866" w:bottom="195" w:gutter="0" w:footer="0" w:header="0"/>
          <w:type w:val="continuous"/>
        </w:sectPr>
      </w:pPr>
    </w:p>
    <w:p>
      <w:pPr>
        <w:spacing w:after="0" w:line="1"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Εφάπαξ χρεώσεις που αναλήφθηκαν πριν ή μετά την επένδυση</w:t>
      </w:r>
    </w:p>
    <w:p>
      <w:pPr>
        <w:spacing w:after="0" w:line="5" w:lineRule="exact"/>
        <w:rPr>
          <w:sz w:val="24"/>
          <w:szCs w:val="24"/>
          <w:color w:val="auto"/>
        </w:rPr>
      </w:pP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Τέλος εισόδου</w:t>
            </w:r>
          </w:p>
        </w:tc>
        <w:tc>
          <w:tcPr>
            <w:tcW w:w="2720" w:type="dxa"/>
            <w:vAlign w:val="bottom"/>
            <w:tcBorders>
              <w:top w:val="single" w:sz="8" w:color="auto"/>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Κανένα</w:t>
            </w:r>
          </w:p>
        </w:tc>
      </w:tr>
      <w:tr>
        <w:trPr>
          <w:trHeight w:val="174"/>
        </w:trPr>
        <w:tc>
          <w:tcPr>
            <w:tcW w:w="2980" w:type="dxa"/>
            <w:vAlign w:val="bottom"/>
            <w:tcBorders>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Τέλος εξόδου</w:t>
            </w:r>
          </w:p>
        </w:tc>
        <w:tc>
          <w:tcPr>
            <w:tcW w:w="2720" w:type="dxa"/>
            <w:vAlign w:val="bottom"/>
            <w:tcBorders>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xmlns:w="http://schemas.openxmlformats.org/wordprocessingml/2006/main">
        <w:ind w:left="160" w:right="12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Αυτό είναι το μέγιστο που μπορεί να ληφθεί από τα χρήματά σας πριν επενδυθεί (χρέωση εισόδου) και πριν από την καταβολή των εσόδων της επένδυσής σας (χρέωση εξόδου).</w:t>
      </w:r>
    </w:p>
    <w:p>
      <w:pPr xmlns:w="http://schemas.openxmlformats.org/wordprocessingml/2006/main">
        <w:ind w:left="160"/>
        <w:spacing w:after="0" w:line="235" w:lineRule="auto"/>
        <w:rPr>
          <w:sz w:val="20"/>
          <w:szCs w:val="20"/>
          <w:color w:val="auto"/>
        </w:rPr>
      </w:pPr>
      <w:r>
        <w:rPr xmlns:w="http://schemas.openxmlformats.org/wordprocessingml/2006/main">
          <w:rFonts w:ascii="Arial" w:cs="Arial" w:eastAsia="Arial" w:hAnsi="Arial"/>
          <w:sz w:val="16"/>
          <w:szCs w:val="16"/>
          <w:color w:val="auto"/>
        </w:rPr>
        <w:t xml:space="preserve">Επιβαρύνσεις που εισπράχθηκαν από το ταμείο κατά τη διάρκεια ενός έτους</w:t>
      </w: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Συνεχιζόμενες χρεώσεις</w:t>
            </w:r>
          </w:p>
        </w:tc>
        <w:tc>
          <w:tcPr>
            <w:tcW w:w="2720" w:type="dxa"/>
            <w:vAlign w:val="bottom"/>
            <w:tcBorders>
              <w:top w:val="single" w:sz="8" w:color="auto"/>
              <w:bottom w:val="single" w:sz="8" w:color="auto"/>
            </w:tcBorders>
          </w:tcPr>
          <w:p>
            <w:pPr xmlns:w="http://schemas.openxmlformats.org/wordprocessingml/2006/main">
              <w:jc w:val="right"/>
              <w:ind w:right="19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0,35 %</w:t>
            </w:r>
          </w:p>
        </w:tc>
      </w:tr>
    </w:tbl>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Επιβαρύνσεις που εισπράττονται από το ταμείο υπό ορισμένους ειδικούς όρους</w:t>
      </w: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Αμοιβή επίδοσης</w:t>
            </w:r>
          </w:p>
        </w:tc>
        <w:tc>
          <w:tcPr>
            <w:tcW w:w="2720" w:type="dxa"/>
            <w:vAlign w:val="bottom"/>
            <w:tcBorders>
              <w:top w:val="single" w:sz="8" w:color="auto"/>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xmlns:w="http://schemas.openxmlformats.org/wordprocessingml/2006/main">
        <w:jc w:val="both"/>
        <w:ind w:right="40"/>
        <w:spacing w:after="0" w:line="239" w:lineRule="auto"/>
        <w:rPr>
          <w:sz w:val="20"/>
          <w:szCs w:val="20"/>
          <w:color w:val="auto"/>
        </w:rPr>
      </w:pPr>
      <w:r>
        <w:rPr xmlns:w="http://schemas.openxmlformats.org/wordprocessingml/2006/main">
          <w:rFonts w:ascii="Arial" w:cs="Arial" w:eastAsia="Arial" w:hAnsi="Arial"/>
          <w:sz w:val="16"/>
          <w:szCs w:val="16"/>
          <w:color w:val="auto"/>
        </w:rPr>
        <w:t xml:space="preserve">Οι δευτερογενείς επενδυτές (εκείνοι που αγοράζουν ή πωλούν μετοχές σε ένα χρηματιστήριο) μπορεί να χρεώνονται ορισμένες αμοιβές από τον μεσίτη μετοχών τους.</w:t>
      </w:r>
      <w:r>
        <w:rPr xmlns:w="http://schemas.openxmlformats.org/wordprocessingml/2006/main">
          <w:rFonts w:ascii="Arial" w:cs="Arial" w:eastAsia="Arial" w:hAnsi="Arial"/>
          <w:sz w:val="16"/>
          <w:szCs w:val="16"/>
          <w:color w:val="auto"/>
        </w:rPr>
        <w:t xml:space="preserve"> Τα τέλη αυτά, αν υπάρχουν, μπορούν να ληφθούν από τον εν λόγω μεσίτη μετοχών.</w:t>
      </w:r>
      <w:r>
        <w:rPr xmlns:w="http://schemas.openxmlformats.org/wordprocessingml/2006/main">
          <w:rFonts w:ascii="Arial" w:cs="Arial" w:eastAsia="Arial" w:hAnsi="Arial"/>
          <w:sz w:val="16"/>
          <w:szCs w:val="16"/>
          <w:color w:val="auto"/>
        </w:rPr>
        <w:t xml:space="preserve"> Οι εξουσιοδοτημένοι συμμετέχοντες που συναλλάσσονται απευθείας με το ταμείο θα καταβάλλουν τα έξοδα συναλλαγής που αφορούν τις συνδρομές και εξαγορές τους.</w:t>
      </w:r>
    </w:p>
    <w:p>
      <w:pPr>
        <w:spacing w:after="0" w:line="5" w:lineRule="exact"/>
        <w:rPr>
          <w:sz w:val="24"/>
          <w:szCs w:val="24"/>
          <w:color w:val="auto"/>
        </w:rPr>
      </w:pPr>
    </w:p>
    <w:p>
      <w:pPr xmlns:w="http://schemas.openxmlformats.org/wordprocessingml/2006/main">
        <w:jc w:val="both"/>
        <w:ind w:right="40"/>
        <w:spacing w:after="0" w:line="239" w:lineRule="auto"/>
        <w:rPr>
          <w:sz w:val="20"/>
          <w:szCs w:val="20"/>
          <w:color w:val="auto"/>
        </w:rPr>
      </w:pPr>
      <w:r>
        <w:rPr xmlns:w="http://schemas.openxmlformats.org/wordprocessingml/2006/main">
          <w:rFonts w:ascii="Arial" w:cs="Arial" w:eastAsia="Arial" w:hAnsi="Arial"/>
          <w:sz w:val="16"/>
          <w:szCs w:val="16"/>
          <w:color w:val="auto"/>
        </w:rPr>
        <w:t xml:space="preserve">Το ποσό των τρεχουσών χρεώσεων βασίζεται σε δαπάνες για το οικονομικό έτος που έληξε στις 31.12.2022. Ενδέχεται να διαφέρει από έτος σε έτος.</w:t>
      </w:r>
      <w:r>
        <w:rPr xmlns:w="http://schemas.openxmlformats.org/wordprocessingml/2006/main">
          <w:rFonts w:ascii="Arial" w:cs="Arial" w:eastAsia="Arial" w:hAnsi="Arial"/>
          <w:sz w:val="16"/>
          <w:szCs w:val="16"/>
          <w:color w:val="auto"/>
        </w:rPr>
        <w:t xml:space="preserve"> Δεν περιλαμβάνονται το κόστος συναλλαγών χαρτοφυλακίου και οι τυχόν αμοιβές απόδοσης.</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Πρόσθετες πληροφορίες σχετικά με το κόστος μπορούν να βρεθούν στο κόστος</w:t>
      </w:r>
    </w:p>
    <w:p>
      <w:pPr>
        <w:sectPr>
          <w:pgSz w:w="11900" w:h="16838" w:orient="portrait"/>
          <w:cols w:equalWidth="0" w:num="2">
            <w:col w:w="5680" w:space="80"/>
            <w:col w:w="4260"/>
          </w:cols>
          <w:pgMar w:left="1020" w:top="626" w:right="866" w:bottom="195" w:gutter="0" w:footer="0" w:header="0"/>
          <w:type w:val="continuous"/>
        </w:sectPr>
      </w:pPr>
    </w:p>
    <w:bookmarkStart w:id="1" w:name="page2"/>
    <w:bookmarkEnd w:id="1"/>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Τέλη δανεισμού τίτλων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0,00 %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-1991995</wp:posOffset>
            </wp:positionH>
            <wp:positionV relativeFrom="paragraph">
              <wp:posOffset>-115570</wp:posOffset>
            </wp:positionV>
            <wp:extent cx="3599815" cy="1295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extLst>
                    </a:blip>
                    <a:srcRect/>
                    <a:stretch>
                      <a:fillRect/>
                    </a:stretch>
                  </pic:blipFill>
                  <pic:spPr bwMode="auto">
                    <a:xfrm>
                      <a:off x="0" y="0"/>
                      <a:ext cx="3599815" cy="12954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center"/>
        <w:ind w:right="2200"/>
        <w:spacing w:after="0"/>
        <w:rPr>
          <w:sz w:val="20"/>
          <w:szCs w:val="20"/>
          <w:color w:val="auto"/>
        </w:rPr>
      </w:pPr>
      <w:r>
        <w:rPr xmlns:w="http://schemas.openxmlformats.org/wordprocessingml/2006/main">
          <w:rFonts w:ascii="Arial" w:cs="Arial" w:eastAsia="Arial" w:hAnsi="Arial"/>
          <w:sz w:val="16"/>
          <w:szCs w:val="16"/>
          <w:color w:val="auto"/>
        </w:rPr>
        <w:t xml:space="preserve">τμήμα ή τμήματα του ενημερωτικού δελτίου.</w:t>
      </w:r>
    </w:p>
    <w:p>
      <w:pPr>
        <w:spacing w:after="0" w:line="210" w:lineRule="exact"/>
        <w:rPr>
          <w:sz w:val="20"/>
          <w:szCs w:val="20"/>
          <w:color w:val="auto"/>
        </w:rPr>
      </w:pPr>
    </w:p>
    <w:p>
      <w:pPr>
        <w:sectPr>
          <w:pgSz w:w="11900" w:h="16838" w:orient="portrait"/>
          <w:cols w:equalWidth="0" w:num="3">
            <w:col w:w="2360" w:space="720"/>
            <w:col w:w="1900" w:space="720"/>
            <w:col w:w="4220"/>
          </w:cols>
          <w:pgMar w:left="1080" w:top="598" w:right="906" w:bottom="1440" w:gutter="0" w:footer="0" w:header="0"/>
        </w:sectPr>
      </w:pPr>
    </w:p>
    <w:p>
      <w:pPr>
        <w:spacing w:after="0" w:line="50" w:lineRule="exact"/>
        <w:rPr>
          <w:sz w:val="20"/>
          <w:szCs w:val="20"/>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Στον βαθμό που το ταμείο αναλαμβάνει δανεισμό τίτλων για την παραγωγή εσόδων, το ταμείο θα διατεθεί τελικά στο 70% των σχετικών εσόδων, ο φορέας δανεισμού τίτλων, ο οποίος θα είναι οντότητα της DWS ή άλλος φορέας της Deutsche Bank, θα κατανεμηθεί στο 15% και το υπόλοιπο 15% θα διατεθεί στην οντότητα της DWS που παρακολουθεί τέτοιες δραστηριότητες, όπως ορίζεται στο ενημερωτικό δελτίο πωλήσεων και το συμπλήρωμα.</w:t>
      </w:r>
      <w:r>
        <w:rPr xmlns:w="http://schemas.openxmlformats.org/wordprocessingml/2006/main">
          <w:rFonts w:ascii="Arial" w:cs="Arial" w:eastAsia="Arial" w:hAnsi="Arial"/>
          <w:sz w:val="16"/>
          <w:szCs w:val="16"/>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τη σύνθεση των δαπανών.</w:t>
      </w:r>
    </w:p>
    <w:p>
      <w:pPr>
        <w:spacing w:after="0" w:line="10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Προηγούμενες επιδόσεις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-23495</wp:posOffset>
                </wp:positionH>
                <wp:positionV relativeFrom="paragraph">
                  <wp:posOffset>32385</wp:posOffset>
                </wp:positionV>
                <wp:extent cx="639572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5720"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499pt,2.55pt" to="501.75pt,2.55pt" o:allowincell="f" strokecolor="#EE7203" strokeweight="1.5pt"/>
            </w:pict>
          </mc:Fallback>
        </mc:AlternateContent>
      </w:r>
    </w:p>
    <w:p>
      <w:pPr>
        <w:spacing w:after="0" w:line="130" w:lineRule="exact"/>
        <w:rPr>
          <w:sz w:val="20"/>
          <w:szCs w:val="20"/>
          <w:color w:val="auto"/>
        </w:rPr>
      </w:pPr>
    </w:p>
    <w:p>
      <w:pPr xmlns:w="http://schemas.openxmlformats.org/wordprocessingml/2006/main">
        <w:jc w:val="both"/>
        <w:ind w:left="6900" w:right="6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Οι επιδόσεις του παρελθόντος δεν αποτελούν αξιόπιστο δείκτη των μελλοντικών επιδόσεων.</w:t>
      </w:r>
      <w:r>
        <w:rPr xmlns:w="http://schemas.openxmlformats.org/wordprocessingml/2006/main">
          <w:rFonts w:ascii="Arial" w:cs="Arial" w:eastAsia="Arial" w:hAnsi="Arial"/>
          <w:sz w:val="16"/>
          <w:szCs w:val="16"/>
          <w:color w:val="auto"/>
        </w:rPr>
        <w:t xml:space="preserve"> Όλες οι δαπάνες και τα τέλη που αποσύρθηκαν από την κατηγορία μετοχών 1C της Xtrackers Artificial Intelligence &amp; Big Data ΟΣΕΚΑ ETF αφαιρέθηκαν κατά τον υπολογισμό.</w:t>
      </w:r>
      <w:r>
        <w:rPr xmlns:w="http://schemas.openxmlformats.org/wordprocessingml/2006/main">
          <w:rFonts w:ascii="Arial" w:cs="Arial" w:eastAsia="Arial" w:hAnsi="Arial"/>
          <w:sz w:val="16"/>
          <w:szCs w:val="16"/>
          <w:color w:val="auto"/>
        </w:rPr>
        <w:t xml:space="preserve"> Η κατηγορία μετοχών 1C της Xtrackers Artificial Intelligence &amp; Big Data ΟΣΕΚΑ ETF ξεκίνησε το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-40005</wp:posOffset>
            </wp:positionH>
            <wp:positionV relativeFrom="paragraph">
              <wp:posOffset>-1068070</wp:posOffset>
            </wp:positionV>
            <wp:extent cx="4321175" cy="20447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extLst>
                    </a:blip>
                    <a:srcRect/>
                    <a:stretch>
                      <a:fillRect/>
                    </a:stretch>
                  </pic:blipFill>
                  <pic:spPr bwMode="auto">
                    <a:xfrm>
                      <a:off x="0" y="0"/>
                      <a:ext cx="4321175" cy="2044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Πρακτικές πληροφορίες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-23495</wp:posOffset>
                </wp:positionH>
                <wp:positionV relativeFrom="paragraph">
                  <wp:posOffset>32385</wp:posOffset>
                </wp:positionV>
                <wp:extent cx="63957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5720"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499pt,2.55pt" to="501.75pt,2.55pt" o:allowincell="f" strokecolor="#EE7203" strokeweight="1.5pt"/>
            </w:pict>
          </mc:Fallback>
        </mc:AlternateContent>
      </w:r>
    </w:p>
    <w:p>
      <w:pPr>
        <w:sectPr>
          <w:pgSz w:w="11900" w:h="16838" w:orient="portrait"/>
          <w:cols w:equalWidth="0" w:num="1">
            <w:col w:w="9920"/>
          </w:cols>
          <w:pgMar w:left="1080" w:top="598" w:right="906" w:bottom="1440" w:gutter="0" w:footer="0" w:header="0"/>
          <w:type w:val="continuous"/>
        </w:sectPr>
      </w:pPr>
    </w:p>
    <w:p>
      <w:pPr>
        <w:spacing w:after="0" w:line="116" w:lineRule="exact"/>
        <w:rPr>
          <w:sz w:val="20"/>
          <w:szCs w:val="20"/>
          <w:color w:val="auto"/>
        </w:rPr>
      </w:pPr>
    </w:p>
    <w:p>
      <w:pPr xmlns:w="http://schemas.openxmlformats.org/wordprocessingml/2006/main">
        <w:jc w:val="both"/>
        <w:spacing w:after="0" w:line="257" w:lineRule="auto"/>
        <w:rPr>
          <w:sz w:val="20"/>
          <w:szCs w:val="20"/>
          <w:color w:val="auto"/>
        </w:rPr>
      </w:pPr>
      <w:r>
        <w:rPr xmlns:w="http://schemas.openxmlformats.org/wordprocessingml/2006/main">
          <w:rFonts w:ascii="Arial" w:cs="Arial" w:eastAsia="Arial" w:hAnsi="Arial"/>
          <w:sz w:val="15"/>
          <w:szCs w:val="15"/>
          <w:color w:val="auto"/>
        </w:rPr>
        <w:t xml:space="preserve">Ο θεματοφύλακας είναι η State Street Custodial Services (Ireland) Limited, Ιρλανδία.</w:t>
      </w:r>
      <w:r>
        <w:rPr xmlns:w="http://schemas.openxmlformats.org/wordprocessingml/2006/main">
          <w:rFonts w:ascii="Arial" w:cs="Arial" w:eastAsia="Arial" w:hAnsi="Arial"/>
          <w:sz w:val="15"/>
          <w:szCs w:val="15"/>
          <w:color w:val="auto"/>
        </w:rPr>
        <w:t xml:space="preserve"> Αντίτυπα του ενημερωτικού δελτίου και των περιοδικών εκθέσεων διατίθενται δωρεάν στη γλώσσα του παρόντος εγγράφου.</w:t>
      </w:r>
      <w:r>
        <w:rPr xmlns:w="http://schemas.openxmlformats.org/wordprocessingml/2006/main">
          <w:rFonts w:ascii="Arial" w:cs="Arial" w:eastAsia="Arial" w:hAnsi="Arial"/>
          <w:sz w:val="15"/>
          <w:szCs w:val="15"/>
          <w:color w:val="auto"/>
        </w:rPr>
        <w:t xml:space="preserve"> Τα έγγραφα, καθώς και άλλες πληροφορίες (συμπεριλαμβανομένων των πιο πρόσφατων τιμών των μετοχών, καθώς και των ενδεικτικών καθαρών αξιών των περιουσιακών στοιχείων) διατίθενται δωρεάν.</w:t>
      </w:r>
      <w:r>
        <w:rPr xmlns:w="http://schemas.openxmlformats.org/wordprocessingml/2006/main">
          <w:rFonts w:ascii="Arial" w:cs="Arial" w:eastAsia="Arial" w:hAnsi="Arial"/>
          <w:sz w:val="15"/>
          <w:szCs w:val="15"/>
          <w:color w:val="auto"/>
        </w:rPr>
        <w:t xml:space="preserve"> Τα έγγραφα είναι διαθέσιμα στην τοπική σας ιστοσελίδα της DWS ή στο www.Xtrackers.com, για πλήρη ενημέρωση σχετικά με τη σύνθεση του χαρτοφυλακίου του ταμείου και πληροφορίες σχετικά με τα στοιχεία του δείκτη, παρακαλούμε να ανατρέξετε και σε αυτήν την ιστοσελίδα.</w:t>
      </w:r>
      <w:r>
        <w:rPr xmlns:w="http://schemas.openxmlformats.org/wordprocessingml/2006/main">
          <w:rFonts w:ascii="Arial" w:cs="Arial" w:eastAsia="Arial" w:hAnsi="Arial"/>
          <w:sz w:val="15"/>
          <w:szCs w:val="15"/>
          <w:color w:val="auto"/>
        </w:rPr>
        <w:t xml:space="preserve"> Πληροφορίες σχετικά με την τρέχουσα πολιτική αποδοχών της εταιρείας διαχείρισης, συμπεριλαμβανομένης περιγραφής του τρόπου υπολογισμού των αποδοχών και των παροχών, δημοσιεύονται στο Διαδίκτυο στη διεύθυνση https://www.dws.com/footer/Legal-</w:t>
      </w:r>
    </w:p>
    <w:p>
      <w:pPr>
        <w:spacing w:after="0" w:line="7" w:lineRule="exact"/>
        <w:rPr>
          <w:sz w:val="20"/>
          <w:szCs w:val="20"/>
          <w:color w:val="auto"/>
        </w:rPr>
      </w:pPr>
    </w:p>
    <w:p>
      <w:pPr xmlns:w="http://schemas.openxmlformats.org/wordprocessingml/2006/main">
        <w:jc w:val="both"/>
        <w:spacing w:after="0" w:line="243" w:lineRule="auto"/>
        <w:rPr>
          <w:sz w:val="20"/>
          <w:szCs w:val="20"/>
          <w:color w:val="auto"/>
        </w:rPr>
      </w:pPr>
      <w:r>
        <w:rPr xmlns:w="http://schemas.openxmlformats.org/wordprocessingml/2006/main">
          <w:rFonts w:ascii="Arial" w:cs="Arial" w:eastAsia="Arial" w:hAnsi="Arial"/>
          <w:sz w:val="16"/>
          <w:szCs w:val="16"/>
          <w:color w:val="auto"/>
        </w:rPr>
        <w:t xml:space="preserve">Piópoi/DWS-Πολιτική αοιβών;setLanguage=el.</w:t>
      </w:r>
      <w:r>
        <w:rPr xmlns:w="http://schemas.openxmlformats.org/wordprocessingml/2006/main">
          <w:rFonts w:ascii="Arial" w:cs="Arial" w:eastAsia="Arial" w:hAnsi="Arial"/>
          <w:sz w:val="16"/>
          <w:szCs w:val="16"/>
          <w:color w:val="auto"/>
        </w:rPr>
        <w:t xml:space="preserve"> Οι πληροφορίες θα σας σταλούν σε έντυπη μορφή δωρεάν κατόπιν αιτήματος.</w:t>
      </w:r>
      <w:r>
        <w:rPr xmlns:w="http://schemas.openxmlformats.org/wordprocessingml/2006/main">
          <w:rFonts w:ascii="Arial" w:cs="Arial" w:eastAsia="Arial" w:hAnsi="Arial"/>
          <w:sz w:val="16"/>
          <w:szCs w:val="16"/>
          <w:color w:val="auto"/>
        </w:rPr>
        <w:t xml:space="preserve"> Τα φορολογικά καθεστώτα που ισχύουν για το ταμείο στη δικαιοδοσία σας ενδέχεται να επηρεάσουν την προσωπική σας φορολογική κατάσταση.</w:t>
      </w:r>
      <w:r>
        <w:rPr xmlns:w="http://schemas.openxmlformats.org/wordprocessingml/2006/main">
          <w:rFonts w:ascii="Arial" w:cs="Arial" w:eastAsia="Arial" w:hAnsi="Arial"/>
          <w:sz w:val="16"/>
          <w:szCs w:val="16"/>
          <w:color w:val="auto"/>
        </w:rPr>
        <w:t xml:space="preserve"> Οι δυνητικοί επενδυτές θα πρέπει να ενημερώνονται σχετικά και, κατά περίπτωση, να λαμβάνουν συμβουλές σχετικά με</w:t>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Αυτές οι βασικές πληροφορίες για τους επενδυτές είναι ακριβείς στις 24.07.2023.</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6" w:lineRule="exact"/>
        <w:rPr>
          <w:sz w:val="20"/>
          <w:szCs w:val="20"/>
          <w:color w:val="auto"/>
        </w:rPr>
      </w:pPr>
    </w:p>
    <w:p>
      <w:pPr xmlns:w="http://schemas.openxmlformats.org/wordprocessingml/2006/main">
        <w:jc w:val="both"/>
        <w:spacing w:after="0" w:line="242" w:lineRule="auto"/>
        <w:rPr>
          <w:sz w:val="20"/>
          <w:szCs w:val="20"/>
          <w:color w:val="auto"/>
        </w:rPr>
      </w:pPr>
      <w:r>
        <w:rPr xmlns:w="http://schemas.openxmlformats.org/wordprocessingml/2006/main">
          <w:rFonts w:ascii="Arial" w:cs="Arial" w:eastAsia="Arial" w:hAnsi="Arial"/>
          <w:sz w:val="16"/>
          <w:szCs w:val="16"/>
          <w:color w:val="auto"/>
        </w:rPr>
        <w:t xml:space="preserve">τα φορολογικά αυτά καθεστώτα.</w:t>
      </w:r>
      <w:r>
        <w:rPr xmlns:w="http://schemas.openxmlformats.org/wordprocessingml/2006/main">
          <w:rFonts w:ascii="Arial" w:cs="Arial" w:eastAsia="Arial" w:hAnsi="Arial"/>
          <w:sz w:val="16"/>
          <w:szCs w:val="16"/>
          <w:color w:val="auto"/>
        </w:rPr>
        <w:t xml:space="preserve"> Οι Xtrackers (IE) plc μπορούν να θεωρηθούν υπεύθυνοι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πωλήσεων.</w:t>
      </w:r>
      <w:r>
        <w:rPr xmlns:w="http://schemas.openxmlformats.org/wordprocessingml/2006/main">
          <w:rFonts w:ascii="Arial" w:cs="Arial" w:eastAsia="Arial" w:hAnsi="Arial"/>
          <w:sz w:val="16"/>
          <w:szCs w:val="16"/>
          <w:color w:val="auto"/>
        </w:rPr>
        <w:t xml:space="preserve"> Το εν λόγω κεφάλαιο είναι ένα επιμέρους κεφάλαιο της Xtrackers (IE) plc για το οποίο το ενημερωτικό δελτίο πωλήσεων και οι περιοδικές εκθέσεις καταρτίζονται στο σύνολό τους, εκτός από τα μεμονωμένα συμπληρώματα ανά επιμέρους κεφάλαιο.</w:t>
      </w:r>
      <w:r>
        <w:rPr xmlns:w="http://schemas.openxmlformats.org/wordprocessingml/2006/main">
          <w:rFonts w:ascii="Arial" w:cs="Arial" w:eastAsia="Arial" w:hAnsi="Arial"/>
          <w:sz w:val="16"/>
          <w:szCs w:val="16"/>
          <w:color w:val="auto"/>
        </w:rPr>
        <w:t xml:space="preserve"> Τα στοιχεία του ενεργητικού και του παθητικού κάθε επιμέρους ταμείου διαχωρίζονται από το νόμο.</w:t>
      </w:r>
      <w:r>
        <w:rPr xmlns:w="http://schemas.openxmlformats.org/wordprocessingml/2006/main">
          <w:rFonts w:ascii="Arial" w:cs="Arial" w:eastAsia="Arial" w:hAnsi="Arial"/>
          <w:sz w:val="16"/>
          <w:szCs w:val="16"/>
          <w:color w:val="auto"/>
        </w:rPr>
        <w:t xml:space="preserve"> Κατά συνέπεια, τα περιουσιακά στοιχεία ενός επιμέρους ταμείου δεν είναι διαθέσιμα στην περίπτωση απαιτήσεων έναντι άλλου ταμείου ή αφερεγγυότητας κάποιου άλλου.</w:t>
      </w:r>
      <w:r>
        <w:rPr xmlns:w="http://schemas.openxmlformats.org/wordprocessingml/2006/main">
          <w:rFonts w:ascii="Arial" w:cs="Arial" w:eastAsia="Arial" w:hAnsi="Arial"/>
          <w:sz w:val="16"/>
          <w:szCs w:val="16"/>
          <w:color w:val="auto"/>
        </w:rPr>
        <w:t xml:space="preserve"> Περισσότερες κατηγορίες μετοχών μπορεί να είναι διαθέσιμες για αυτό το ταμείο - παρακαλούμε να ανατρέξετε στο σχετικό τμήμα του συμπληρώματος για περισσότερες λεπτομέρειες.</w:t>
      </w:r>
      <w:r>
        <w:rPr xmlns:w="http://schemas.openxmlformats.org/wordprocessingml/2006/main">
          <w:rFonts w:ascii="Arial" w:cs="Arial" w:eastAsia="Arial" w:hAnsi="Arial"/>
          <w:sz w:val="16"/>
          <w:szCs w:val="16"/>
          <w:color w:val="auto"/>
        </w:rPr>
        <w:t xml:space="preserve"> Δεν επιτρέπεται να ανταλλάξετε τις μετοχές σας σε αυτό το ταμείο για άλλα κεφάλαια της Xtrackers (IE) plc.</w:t>
      </w:r>
      <w:r>
        <w:rPr xmlns:w="http://schemas.openxmlformats.org/wordprocessingml/2006/main">
          <w:rFonts w:ascii="Arial" w:cs="Arial" w:eastAsia="Arial" w:hAnsi="Arial"/>
          <w:sz w:val="16"/>
          <w:szCs w:val="16"/>
          <w:color w:val="auto"/>
        </w:rPr>
        <w:t xml:space="preserve"> Το εν λόγω ταμείο έχει λάβει άδεια λειτουργίας στην Ιρλανδία και τελεί υπό τη ρύθμιση της Central Bank of Ireland.</w:t>
      </w:r>
      <w:r>
        <w:rPr xmlns:w="http://schemas.openxmlformats.org/wordprocessingml/2006/main">
          <w:rFonts w:ascii="Arial" w:cs="Arial" w:eastAsia="Arial" w:hAnsi="Arial"/>
          <w:sz w:val="16"/>
          <w:szCs w:val="16"/>
          <w:color w:val="auto"/>
        </w:rPr>
        <w:t xml:space="preserve"> Η DWS Investment S.A. έχει λάβει άδεια στο Λουξεμβούργο και ρυθμίζεται από την Commission de Surveillance du Secteur Financier.</w:t>
      </w:r>
    </w:p>
    <w:p>
      <w:pPr>
        <w:spacing w:after="0" w:line="712" w:lineRule="exact"/>
        <w:rPr>
          <w:sz w:val="20"/>
          <w:szCs w:val="20"/>
          <w:color w:val="auto"/>
        </w:rPr>
      </w:pPr>
    </w:p>
    <w:p>
      <w:pPr>
        <w:sectPr>
          <w:pgSz w:w="11900" w:h="16838" w:orient="portrait"/>
          <w:cols w:equalWidth="0" w:num="2">
            <w:col w:w="4760" w:space="400"/>
            <w:col w:w="4760"/>
          </w:cols>
          <w:pgMar w:left="1080" w:top="598" w:right="906" w:bottom="1440" w:gutter="0" w:footer="0" w:header="0"/>
          <w:type w:val="continuous"/>
        </w:sectPr>
      </w:pPr>
    </w:p>
    <w:p>
      <w:pPr xmlns:w="http://schemas.openxmlformats.org/wordprocessingml/2006/main">
        <w:jc w:val="both"/>
        <w:ind w:right="140"/>
        <w:spacing w:after="0" w:line="257" w:lineRule="auto"/>
        <w:rPr>
          <w:sz w:val="20"/>
          <w:szCs w:val="20"/>
          <w:color w:val="auto"/>
        </w:rPr>
      </w:pPr>
      <w:r>
        <w:rPr xmlns:w="http://schemas.openxmlformats.org/wordprocessingml/2006/main">
          <w:rFonts w:ascii="Arial" w:cs="Arial" w:eastAsia="Arial" w:hAnsi="Arial"/>
          <w:sz w:val="14"/>
          <w:szCs w:val="14"/>
          <w:color w:val="auto"/>
        </w:rPr>
        <w:t xml:space="preserve">Το Nasdaq® είναι σήμα κατατεθέν της NASDAQ, Inc. (η οποία μαζί με τις θυγατρικές της αναφέρεται ως "Corporation") και έχει άδεια χρήσης από την Xtrackers (IE) plc.</w:t>
      </w:r>
      <w:r>
        <w:rPr xmlns:w="http://schemas.openxmlformats.org/wordprocessingml/2006/main">
          <w:rFonts w:ascii="Arial" w:cs="Arial" w:eastAsia="Arial" w:hAnsi="Arial"/>
          <w:sz w:val="14"/>
          <w:szCs w:val="14"/>
          <w:color w:val="auto"/>
        </w:rPr>
        <w:t xml:space="preserve"> Τα Προϊόντα δεν έχουν μεταβιβαστεί από την Εταιρεία ως προς τη νομιμότητα ή την καταλληλότητά τους.</w:t>
      </w:r>
      <w:r>
        <w:rPr xmlns:w="http://schemas.openxmlformats.org/wordprocessingml/2006/main">
          <w:rFonts w:ascii="Arial" w:cs="Arial" w:eastAsia="Arial" w:hAnsi="Arial"/>
          <w:sz w:val="14"/>
          <w:szCs w:val="14"/>
          <w:color w:val="auto"/>
        </w:rPr>
        <w:t xml:space="preserve"> Τα προϊόντα δεν εκδίδονται, θεωρούνται, πωλούνται ή προωθούνται από την Εταιρεία.</w:t>
      </w:r>
      <w:r>
        <w:rPr xmlns:w="http://schemas.openxmlformats.org/wordprocessingml/2006/main">
          <w:rFonts w:ascii="Arial" w:cs="Arial" w:eastAsia="Arial" w:hAnsi="Arial"/>
          <w:sz w:val="14"/>
          <w:szCs w:val="14"/>
          <w:color w:val="auto"/>
        </w:rPr>
        <w:t xml:space="preserve"> Η ΕΤΑΙΡΕΙΑ ΔΕΝ ΑΝΑΛΑΜΒΑΝΕΙ ΚΑΜΙΑ ΕΓΓΥΗΣΗ ΚΑΙ ΔΕΝ ΦΕΡΕΙ ΚΑΜΙΑ ΕΥΘΥΝΗ ΣΕ ΣΧΕΣΗ ΜΕ ΤΟ(Α) ΠΡΟΪΟΝ(Α).</w:t>
      </w:r>
    </w:p>
    <w:sectPr>
      <w:pgSz w:w="11900" w:h="16838" w:orient="portrait"/>
      <w:cols w:equalWidth="0" w:num="1">
        <w:col w:w="9920"/>
      </w:cols>
      <w:pgMar w:left="1080" w:top="598" w:right="906"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2024-05-20T11:06:06Z</dcterms:created>
  <dcterms:modified xsi:type="dcterms:W3CDTF">2024-05-20T11:06:06Z</dcterms:modified>
</cp:coreProperties>
</file>