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9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6"/>
              </w:rPr>
              <w:t xml:space="preserve">Μετοχές Global Clean Energy ΟΣΕΚΑ ETF</w:t>
            </w:r>
          </w:p>
        </w:tc>
        <w:tc>
          <w:tcPr>
            <w:tcW w:w="2460" w:type="dxa"/>
            <w:vAlign w:val="bottom"/>
          </w:tcPr>
          <w:p>
            <w:pPr xmlns:w="http://schemas.openxmlformats.org/wordprocessingml/2006/main">
              <w:ind w:left="380"/>
              <w:spacing w:after="0"/>
              <w:rPr>
                <w:sz w:val="20"/>
                <w:szCs w:val="20"/>
                <w:color w:val="auto"/>
              </w:rPr>
            </w:pPr>
            <w:r>
              <w:rPr xmlns:w="http://schemas.openxmlformats.org/wordprocessingml/2006/main">
                <w:rFonts w:ascii="Arial" w:cs="Arial" w:eastAsia="Arial" w:hAnsi="Arial"/>
                <w:sz w:val="22"/>
                <w:szCs w:val="22"/>
                <w:color w:val="auto"/>
                <w:w w:val="89"/>
              </w:rPr>
              <w:t xml:space="preserve">Κλάση μετοχών USD (Dist)</w:t>
            </w:r>
          </w:p>
        </w:tc>
        <w:tc>
          <w:tcPr>
            <w:tcW w:w="2120" w:type="dxa"/>
            <w:vAlign w:val="bottom"/>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9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II plc</w:t>
            </w:r>
          </w:p>
        </w:tc>
        <w:tc>
          <w:tcPr>
            <w:tcW w:w="2460" w:type="dxa"/>
            <w:vAlign w:val="bottom"/>
          </w:tcPr>
          <w:p>
            <w:pPr xmlns:w="http://schemas.openxmlformats.org/wordprocessingml/2006/main">
              <w:ind w:left="38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IE00B1XNHC34</w:t>
            </w:r>
          </w:p>
        </w:tc>
        <w:tc>
          <w:tcPr>
            <w:tcW w:w="212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960" w:type="dxa"/>
            <w:vAlign w:val="bottom"/>
            <w:vMerge w:val="continue"/>
          </w:tcPr>
          <w:p>
            <w:pPr>
              <w:spacing w:after="0"/>
              <w:rPr>
                <w:sz w:val="9"/>
                <w:szCs w:val="9"/>
                <w:color w:val="auto"/>
              </w:rPr>
            </w:pPr>
          </w:p>
        </w:tc>
        <w:tc>
          <w:tcPr>
            <w:tcW w:w="2460" w:type="dxa"/>
            <w:vAlign w:val="bottom"/>
          </w:tcPr>
          <w:p>
            <w:pPr>
              <w:spacing w:after="0"/>
              <w:rPr>
                <w:sz w:val="9"/>
                <w:szCs w:val="9"/>
                <w:color w:val="auto"/>
              </w:rPr>
            </w:pPr>
          </w:p>
        </w:tc>
        <w:tc>
          <w:tcPr>
            <w:tcW w:w="212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S&amp;P Global Clean Energy Index, του δείκτη αναφοράς του Ταμείου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στοχεύει να επενδύσει, στο μέτρο του δυνατού και εφικτού, στους μετοχικούς τίτλους (π.χ. μετοχές) που αποτελούν τον Δείκτη.</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περίπου 100 από τις μεγαλύτερες, εισηγμένες στο χρηματιστήριο εταιρείες της παγκόσμιας επιχείρησης καθαρής ενέργειας που πληρούν συγκεκριμένες απαιτήσεις επενδυσιμότητας και τα περιβαλλοντικά, κοινωνικά και κυβερνητικά κριτήρια αποκλεισμού του παρόχου του δείκτη ("ESG").</w:t>
      </w:r>
      <w:r>
        <w:rPr xmlns:w="http://schemas.openxmlformats.org/wordprocessingml/2006/main">
          <w:rFonts w:ascii="Arial" w:cs="Arial" w:eastAsia="Arial" w:hAnsi="Arial"/>
          <w:sz w:val="16"/>
          <w:szCs w:val="16"/>
          <w:color w:val="auto"/>
        </w:rPr>
        <w:t xml:space="preserve"> Ο Δείκτης έχει σχεδιαστεί για να παρέχει έκθεση στις κορυφαίες εισηγμένες στο χρηματιστήριο εταιρείες του κόσμου στον τομέα της καθαρής ενέργειας, τόσο από τις ανεπτυγμένες όσο και από τις αναδυόμενες αγορές.</w:t>
      </w:r>
      <w:r>
        <w:rPr xmlns:w="http://schemas.openxmlformats.org/wordprocessingml/2006/main">
          <w:rFonts w:ascii="Arial" w:cs="Arial" w:eastAsia="Arial" w:hAnsi="Arial"/>
          <w:sz w:val="16"/>
          <w:szCs w:val="16"/>
          <w:color w:val="auto"/>
        </w:rPr>
        <w:t xml:space="preserve"> Ο δείκτης περιλαμβάνει ένα διαφοροποιημένο μείγμα παραγωγής καθαρής ενέργειας και εξοπλισμού και εταιρειών τεχνολογίας καθαρής ενέργειας.</w:t>
      </w:r>
      <w:r>
        <w:rPr xmlns:w="http://schemas.openxmlformats.org/wordprocessingml/2006/main">
          <w:rFonts w:ascii="Arial" w:cs="Arial" w:eastAsia="Arial" w:hAnsi="Arial"/>
          <w:sz w:val="16"/>
          <w:szCs w:val="16"/>
          <w:color w:val="auto"/>
        </w:rPr>
        <w:t xml:space="preserve"> Ο δείκτης καλύπτει τους επιμέρους συντελεστές στάθμισης των συστατικών στοιχείων, όπως καθορίζονται σύμφωνα με τη μεθοδολογία του δείκτη.</w:t>
      </w:r>
    </w:p>
    <w:p>
      <w:pPr>
        <w:spacing w:after="0" w:line="28" w:lineRule="exact"/>
        <w:rPr>
          <w:sz w:val="24"/>
          <w:szCs w:val="24"/>
          <w:color w:val="auto"/>
        </w:rPr>
      </w:pPr>
    </w:p>
    <w:p>
      <w:pPr xmlns:w="http://schemas.openxmlformats.org/wordprocessingml/2006/main">
        <w:ind w:left="140" w:righ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εταιρείες μπορούν να εξαιρεθούν από το Δείκτη αν εμπλέκονται σε αμφιλεγόμενα όπλα, φορητά όπλα, στρατιωτικές συμβάσεις, καπνό, θερμικό άνθρακα, πετρελαιοκηλίδα, σχιστή ενέργεια, εξερεύνηση πετρελαίου και φυσικού αερίου της Αρκτικής.</w:t>
      </w:r>
      <w:r>
        <w:rPr xmlns:w="http://schemas.openxmlformats.org/wordprocessingml/2006/main">
          <w:rFonts w:ascii="Arial" w:cs="Arial" w:eastAsia="Arial" w:hAnsi="Arial"/>
          <w:sz w:val="16"/>
          <w:szCs w:val="16"/>
          <w:color w:val="auto"/>
        </w:rPr>
        <w:t xml:space="preserve"> Εξαιρούνται επίσης οι εταιρείες που έχουν ταξινομηθεί ως παραβιάζουσες τις αρχές του Παγκόσμιου Συμφώνου των Ηνωμένων Εθνών ή έχουν αξιολογηθεί από τις αρχές ESG του φορέα παροχής του δείκτη (οι οποίες μετρούν τη συμμετοχή μιας εταιρείας σε σοβαρές διαφωνίες ESG, ή την έκθεση σε κινδύνους ESG και τη διαχείριση αυτών, ή συνδυασμό των αξιολογήσεων κινδύνου ESG μιας εταιρείας και των αξιολογήσεων αμφισβήτησης).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να εξασφαλίσει περιορισμένη έκθεση σε τίτλους που δεν πληρούν τα εν λόγω κριτήρια ΠΚΔ.</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3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140" w:right="1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υιοθετεί μια βέλτιστη προσέγγιση για τη βιώσιμη επένδυση, δηλαδή αναμένεται να επενδύσει στους καλύτερους εκδότες από τη σκοπιά του ESG (με βάση τα κριτήρια ESG του δείκτη) εντός του σχετικού πεδίου που καλύπτει ο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διανέμουν μετοχές (δηλαδή το εισόδημα θα καταβάλλεται επί των μετοχών εξαμηνιαία).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επτά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2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193"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επενδύσεις στην παγκόσμια βιομηχανία καθαρής ενέργειας υπόκεινται σε περιβαλλοντικές ανησυχίες ή ανησυχίες βιωσιμότητας, φόρους, κυβερνητικούς κανονισμούς, τιμές, προσφορά και</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ανταγωνισμού.</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00"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6"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0,65%**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ιδρύθηκε το 2007.</w:t>
      </w:r>
      <w:r>
        <w:rPr xmlns:w="http://schemas.openxmlformats.org/wordprocessingml/2006/main">
          <w:rFonts w:ascii="Arial" w:cs="Arial" w:eastAsia="Arial" w:hAnsi="Arial"/>
          <w:sz w:val="15"/>
          <w:szCs w:val="15"/>
          <w:color w:val="auto"/>
        </w:rPr>
        <w:t xml:space="preserve"> Η Share Class ξεκίνησε το 2007.</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 Benchmark: S&amp;P Global Clean Energy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48,6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-16,5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43,7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140,2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-24,1</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-5,6</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48,1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-17,4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44,3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141,3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-23,4</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-5,0</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II plc, μια κεντρική δομή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Το παρόν έγγραφο αφορά ειδικά το Ταμείο και την κατηγορία μετοχών που δηλώθηκε στην αρχή του παρόντος εγγράφου.</w:t>
      </w:r>
      <w:r>
        <w:rPr xmlns:w="http://schemas.openxmlformats.org/wordprocessingml/2006/main">
          <w:rFonts w:ascii="Arial" w:cs="Arial" w:eastAsia="Arial" w:hAnsi="Arial"/>
          <w:sz w:val="14"/>
          <w:szCs w:val="14"/>
          <w:color w:val="auto"/>
        </w:rPr>
        <w:t xml:space="preserve"> Ωστόσο, το ενημερωτικό δελτίο, οι ετήσιες και οι εξαμηνιαίες εκθέσεις συντάσσονται για το γενικό πλαίσιο.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iShares II plc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υποκεφαλαίων στο πλαίσιο της iShares II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5">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26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CE816A4"/>
    <w:multiLevelType w:val="hybridMultilevel"/>
    <w:lvl w:ilvl="0">
      <w:lvlJc w:val="left"/>
      <w:lvlText w:val="-"/>
      <w:numFmt w:val="bullet"/>
      <w:start w:val="1"/>
    </w:lvl>
  </w:abstractNum>
  <w:abstractNum w:abstractNumId="1">
    <w:nsid w:val="BBC2EA3"/>
    <w:multiLevelType w:val="hybridMultilevel"/>
    <w:lvl w:ilvl="0">
      <w:lvlJc w:val="left"/>
      <w:lvlText w:val="-"/>
      <w:numFmt w:val="bullet"/>
      <w:start w:val="1"/>
    </w:lvl>
  </w:abstractNum>
  <w:abstractNum w:abstractNumId="2">
    <w:nsid w:val="4676D777"/>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jpe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jpe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png"/><Relationship Id="rId54" Type="http://schemas.openxmlformats.org/officeDocument/2006/relationships/image" Target="media/image43.png"/><Relationship Id="rId55" Type="http://schemas.openxmlformats.org/officeDocument/2006/relationships/image" Target="media/image44.jpeg"/><Relationship Id="rId56" Type="http://schemas.openxmlformats.org/officeDocument/2006/relationships/image" Target="media/image4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2024-05-20T15:49:33Z</dcterms:created>
  <dcterms:modified xsi:type="dcterms:W3CDTF">2024-05-20T15:49:33Z</dcterms:modified>
</cp:coreProperties>
</file>