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0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8089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808990"/>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51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2"/>
              </w:rPr>
              <w:t xml:space="preserve">iShares S&amp;P 500 ΟΣΕΚΑ</w:t>
            </w:r>
          </w:p>
        </w:tc>
        <w:tc>
          <w:tcPr>
            <w:tcW w:w="22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22"/>
                <w:szCs w:val="22"/>
                <w:color w:val="auto"/>
                <w:w w:val="88"/>
              </w:rPr>
              <w:t xml:space="preserve">Κλάση Μετοχών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51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rPr>
              <w:t xml:space="preserve">ETF</w:t>
            </w:r>
          </w:p>
        </w:tc>
        <w:tc>
          <w:tcPr>
            <w:tcW w:w="22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IE00B43HR379</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84"/>
        </w:trPr>
        <w:tc>
          <w:tcPr>
            <w:tcW w:w="5120" w:type="dxa"/>
            <w:vAlign w:val="bottom"/>
            <w:vMerge w:val="continue"/>
          </w:tcPr>
          <w:p>
            <w:pPr>
              <w:spacing w:after="0"/>
              <w:rPr>
                <w:sz w:val="16"/>
                <w:szCs w:val="16"/>
                <w:color w:val="auto"/>
              </w:rPr>
            </w:pPr>
          </w:p>
        </w:tc>
        <w:tc>
          <w:tcPr>
            <w:tcW w:w="4400" w:type="dxa"/>
            <w:vAlign w:val="bottom"/>
            <w:gridSpan w:val="2"/>
            <w:vMerge w:val="restart"/>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8"/>
                <w:szCs w:val="18"/>
                <w:color w:val="auto"/>
                <w:w w:val="92"/>
              </w:rPr>
              <w:t xml:space="preserve">Διαχειριστής:</w:t>
            </w:r>
            <w:r>
              <w:rPr xmlns:w="http://schemas.openxmlformats.org/wordprocessingml/2006/main">
                <w:rFonts w:ascii="Arial" w:cs="Arial" w:eastAsia="Arial" w:hAnsi="Arial"/>
                <w:sz w:val="18"/>
                <w:szCs w:val="18"/>
                <w:color w:val="auto"/>
                <w:w w:val="92"/>
              </w:rPr>
              <w:t xml:space="preserve"> BlackRock Asset Management Ireland Limited</w:t>
            </w:r>
          </w:p>
        </w:tc>
        <w:tc>
          <w:tcPr>
            <w:tcW w:w="0" w:type="dxa"/>
            <w:vAlign w:val="bottom"/>
          </w:tcPr>
          <w:p>
            <w:pPr>
              <w:spacing w:after="0"/>
              <w:rPr>
                <w:sz w:val="1"/>
                <w:szCs w:val="1"/>
                <w:color w:val="auto"/>
              </w:rPr>
            </w:pPr>
          </w:p>
        </w:tc>
      </w:tr>
      <w:tr>
        <w:trPr>
          <w:trHeight w:val="105"/>
        </w:trPr>
        <w:tc>
          <w:tcPr>
            <w:tcW w:w="5120" w:type="dxa"/>
            <w:vAlign w:val="bottom"/>
          </w:tcPr>
          <w:p>
            <w:pPr>
              <w:spacing w:after="0"/>
              <w:rPr>
                <w:sz w:val="9"/>
                <w:szCs w:val="9"/>
                <w:color w:val="auto"/>
              </w:rPr>
            </w:pPr>
          </w:p>
        </w:tc>
        <w:tc>
          <w:tcPr>
            <w:tcW w:w="44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V plc</w:t>
      </w:r>
    </w:p>
    <w:p>
      <w:pPr>
        <w:spacing w:after="0" w:line="10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δείκτη αναφοράς του Ταμείου S&amp;P 500 Capped 35/20 Health Care Index (δείκτης αναφοράς).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Η Κατηγορία Μετοχών, μέσω του Ταμείου, τελεί υπό παθητική διαχείριση και επενδύει σε μετοχικούς τίτλους (π.χ. μετοχές) οι οποίοι, στο μέτρο του δυνατού και του εφικτού, αποτελούν τον Δείκτη.</w:t>
      </w:r>
    </w:p>
    <w:p>
      <w:pPr>
        <w:spacing w:after="0" w:line="71" w:lineRule="exact"/>
        <w:rPr>
          <w:sz w:val="24"/>
          <w:szCs w:val="24"/>
          <w:color w:val="auto"/>
        </w:rPr>
      </w:pPr>
    </w:p>
    <w:p>
      <w:pPr xmlns:w="http://schemas.openxmlformats.org/wordprocessingml/2006/main">
        <w:ind w:left="140" w:right="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μετρά την απόδοση των αποθεμάτων από τον δείκτη S&amp;P 500 που εμπίπτουν στον τομέα υγειονομικής περίθαλψης σύμφωνα με το παγκόσμιο βιομηχανικό πρότυπο (GICS).</w:t>
      </w:r>
      <w:r>
        <w:rPr xmlns:w="http://schemas.openxmlformats.org/wordprocessingml/2006/main">
          <w:rFonts w:ascii="Arial" w:cs="Arial" w:eastAsia="Arial" w:hAnsi="Arial"/>
          <w:sz w:val="16"/>
          <w:szCs w:val="16"/>
          <w:color w:val="auto"/>
        </w:rPr>
        <w:t xml:space="preserve"> Το S&amp;P 500 μετρά την απόδοση 500 αποθεμάτων από κορυφαίες εταιρείες των ΗΠΑ σε κορυφαίες βιομηχανίες της οικονομίας των ΗΠΑ, οι οποίες πληρούν τα κριτήρια μεγέθους, ρευστότητας και ελεύθερης διασποράς της S&amp;P.</w:t>
      </w:r>
      <w:r>
        <w:rPr xmlns:w="http://schemas.openxmlformats.org/wordprocessingml/2006/main">
          <w:rFonts w:ascii="Arial" w:cs="Arial" w:eastAsia="Arial" w:hAnsi="Arial"/>
          <w:sz w:val="16"/>
          <w:szCs w:val="16"/>
          <w:color w:val="auto"/>
        </w:rPr>
        <w:t xml:space="preserve"> Ο τομέας της υγειονομικής περίθαλψης των GICS περιλαμβάνει σήμερα δύο κύριες ομάδες του κλάδου.</w:t>
      </w:r>
      <w:r>
        <w:rPr xmlns:w="http://schemas.openxmlformats.org/wordprocessingml/2006/main">
          <w:rFonts w:ascii="Arial" w:cs="Arial" w:eastAsia="Arial" w:hAnsi="Arial"/>
          <w:sz w:val="16"/>
          <w:szCs w:val="16"/>
          <w:color w:val="auto"/>
        </w:rPr>
        <w:t xml:space="preserve"> Η πρώτη περιλαμβάνει επιχειρήσεις οι οποίες κατασκευάζουν εξοπλισμό και προμήθειες υγειονομικής περίθαλψης ή παρέχουν υπηρεσίες που σχετίζονται με την υγεία, όπως διανομείς προϊόντων υγειονομικής περίθαλψης, παροχείς βασικών υπηρεσιών υγειονομικής περίθαλψης, ιδιοκτήτες και χειριστές εγκαταστάσεων και οργανισμών υγειονομικής περίθαλψης.</w:t>
      </w:r>
      <w:r>
        <w:rPr xmlns:w="http://schemas.openxmlformats.org/wordprocessingml/2006/main">
          <w:rFonts w:ascii="Arial" w:cs="Arial" w:eastAsia="Arial" w:hAnsi="Arial"/>
          <w:sz w:val="16"/>
          <w:szCs w:val="16"/>
          <w:color w:val="auto"/>
        </w:rPr>
        <w:t xml:space="preserve"> Η δεύτερη ομάδα περιλαμβάνει εταιρείες που ασχολούνται κατά κύριο λόγο με την έρευνα, την ανάπτυξη, την παραγωγή και την εμπορία φαρμακευτικών και βιοτεχνολογικών προϊόντων.</w:t>
      </w:r>
      <w:r>
        <w:rPr xmlns:w="http://schemas.openxmlformats.org/wordprocessingml/2006/main">
          <w:rFonts w:ascii="Arial" w:cs="Arial" w:eastAsia="Arial" w:hAnsi="Arial"/>
          <w:sz w:val="16"/>
          <w:szCs w:val="16"/>
          <w:color w:val="auto"/>
        </w:rPr>
        <w:t xml:space="preserve"> Ο δείκτης δεν μπορεί να περιλαμβάνει ή/και δεν μπορεί να περιορίζεται σε κάθε κατηγορία που περιλαμβάνει τον τομέα που αναφέρεται εδώ.</w:t>
      </w:r>
      <w:r>
        <w:rPr xmlns:w="http://schemas.openxmlformats.org/wordprocessingml/2006/main">
          <w:rFonts w:ascii="Arial" w:cs="Arial" w:eastAsia="Arial" w:hAnsi="Arial"/>
          <w:sz w:val="16"/>
          <w:szCs w:val="16"/>
          <w:color w:val="auto"/>
        </w:rPr>
        <w:t xml:space="preserve"> Οι εταιρείες περιλαμβάνονται στο Δείκτη με βάση τη σταθμισμένη βάση της χρηματιστηριακής αξίας της αγοράς, προσαρμοσμένη κατά την ελεύθερη κίνηση.</w:t>
      </w:r>
      <w:r>
        <w:rPr xmlns:w="http://schemas.openxmlformats.org/wordprocessingml/2006/main">
          <w:rFonts w:ascii="Arial" w:cs="Arial" w:eastAsia="Arial" w:hAnsi="Arial"/>
          <w:sz w:val="16"/>
          <w:szCs w:val="16"/>
          <w:color w:val="auto"/>
        </w:rPr>
        <w:t xml:space="preserve"> Η προσαρμογή βάσει της ελεύθερης διασποράς σημαίνει ότι για τον υπολογισμό του Δείκτη χρησιμοποιούνται μόνο μετοχές που είναι διαθέσιμες στους διεθνείς επενδυτές και όχι όλες οι μετοχές μιας εταιρείας.</w:t>
      </w:r>
      <w:r>
        <w:rPr xmlns:w="http://schemas.openxmlformats.org/wordprocessingml/2006/main">
          <w:rFonts w:ascii="Arial" w:cs="Arial" w:eastAsia="Arial" w:hAnsi="Arial"/>
          <w:sz w:val="16"/>
          <w:szCs w:val="16"/>
          <w:color w:val="auto"/>
        </w:rPr>
        <w:t xml:space="preserve"> Η ελεύθερη χρηματιστηριακή αξία είναι η τιμή της μετοχής μιας εταιρείας πολλαπλασιασμένη με τον αριθμό των μετοχών που είναι διαθέσιμες στους διεθνείς επενδυτές.</w:t>
      </w:r>
      <w:r>
        <w:rPr xmlns:w="http://schemas.openxmlformats.org/wordprocessingml/2006/main">
          <w:rFonts w:ascii="Arial" w:cs="Arial" w:eastAsia="Arial" w:hAnsi="Arial"/>
          <w:sz w:val="16"/>
          <w:szCs w:val="16"/>
          <w:color w:val="auto"/>
        </w:rPr>
        <w:t xml:space="preserve"> Ο δείκτης επισφραγίζει το βάρος των μεγαλύτερων εταιρειών σε κάθε επανεξισορρόπηση για να εξασφαλίσει τη διαφοροποίηση του δείκτη.</w:t>
      </w:r>
      <w:r>
        <w:rPr xmlns:w="http://schemas.openxmlformats.org/wordprocessingml/2006/main">
          <w:rFonts w:ascii="Arial" w:cs="Arial" w:eastAsia="Arial" w:hAnsi="Arial"/>
          <w:sz w:val="16"/>
          <w:szCs w:val="16"/>
          <w:color w:val="auto"/>
        </w:rPr>
        <w:t xml:space="preserve"> Ο συντελεστής στάθμισης της μεγαλύτερης οντότητας του ομίλου στον δείκτη περιορίζεται στο 33% και οι υπόλοιπες οντότητες του ομίλου στο 19%.</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προτίθεται να αναπαράγει τον δείκτη διατηρώντας τους μετοχικούς τίτλους, οι οποίοι αποτελούν τον δείκτη, σε παρόμοιες αναλογίες με αυτόν.</w:t>
      </w:r>
    </w:p>
    <w:p>
      <w:pPr>
        <w:spacing w:after="0" w:line="48" w:lineRule="exact"/>
        <w:rPr>
          <w:sz w:val="24"/>
          <w:szCs w:val="24"/>
          <w:color w:val="auto"/>
        </w:rPr>
      </w:pPr>
    </w:p>
    <w:p>
      <w:pPr xmlns:w="http://schemas.openxmlformats.org/wordprocessingml/2006/main">
        <w:ind w:left="140" w:right="3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μπορεί επίσης να προβεί σε βραχυπρόθεσμο εξασφαλισμένο δανεισμό των επενδύσεών του σε ορισμένα επιλέξιμα τρίτα μέρη για την παραγωγή πρόσθετων εσόδων για την αντιστάθμιση των δαπανών του Ταμείου.</w:t>
      </w:r>
    </w:p>
    <w:p>
      <w:pPr>
        <w:spacing w:after="0" w:line="28" w:lineRule="exact"/>
        <w:rPr>
          <w:sz w:val="24"/>
          <w:szCs w:val="24"/>
          <w:color w:val="auto"/>
        </w:rPr>
      </w:pPr>
    </w:p>
    <w:p>
      <w:pPr xmlns:w="http://schemas.openxmlformats.org/wordprocessingml/2006/main">
        <w:ind w:left="140" w:right="3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διαχειριστής επενδύσεων μπορεί να χρησιμοποιεί χρηματοοικονομικά παράγωγα μέσα (ΑΞΕ) (δηλαδή επενδύσεις οι τιμές των οποίων βασίζονται σε ένα ή περισσότερα υποκείμενα περιουσιακά στοιχεία) για να συμβάλει στην επίτευξη του επενδυτικού στόχου του Ταμείου.</w:t>
      </w:r>
      <w:r>
        <w:rPr xmlns:w="http://schemas.openxmlformats.org/wordprocessingml/2006/main">
          <w:rFonts w:ascii="Arial" w:cs="Arial" w:eastAsia="Arial" w:hAnsi="Arial"/>
          <w:sz w:val="16"/>
          <w:szCs w:val="16"/>
          <w:color w:val="auto"/>
        </w:rPr>
        <w:t xml:space="preserve"> Οι ΑΞΕ μπορούν να χρησιμοποιούνται για σκοπούς άμεσων επενδύσεων.</w:t>
      </w:r>
      <w:r>
        <w:rPr xmlns:w="http://schemas.openxmlformats.org/wordprocessingml/2006/main">
          <w:rFonts w:ascii="Arial" w:cs="Arial" w:eastAsia="Arial" w:hAnsi="Arial"/>
          <w:sz w:val="16"/>
          <w:szCs w:val="16"/>
          <w:color w:val="auto"/>
        </w:rPr>
        <w:t xml:space="preserve"> Η χρήση των ΑΞΕ αναμένεται να είναι περιορισμένη για αυτήν την κατηγορία μετοχών.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60"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συσσωρεύονται μετοχές (δηλαδή το εισόδημα θα περιλαμβάνεται στην αξία τους).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-84455</wp:posOffset>
            </wp:positionV>
            <wp:extent cx="45720" cy="774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είναι εκφρασμένες σε Δολάριο ΗΠΑ, το βασικό νόμισμα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-83820</wp:posOffset>
            </wp:positionV>
            <wp:extent cx="45720" cy="7747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right="4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4"/>
          <w:szCs w:val="14"/>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4"/>
          <w:szCs w:val="14"/>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4"/>
          <w:szCs w:val="14"/>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-408305</wp:posOffset>
            </wp:positionV>
            <wp:extent cx="45720" cy="774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580"/>
          </w:cols>
          <w:pgMar w:left="640" w:top="573" w:right="68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-261620</wp:posOffset>
            </wp:positionV>
            <wp:extent cx="45720" cy="774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έξι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-427355</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2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5"/>
          <w:szCs w:val="15"/>
          <w:color w:val="auto"/>
        </w:rPr>
        <w:t xml:space="preserve"> Αυτό σημαίνει ότι το Ταμείο είναι πιο ευαίσθητο σε οποιαδήποτε τοπικά οικονομικά, εμπορικά, πολιτικά, σχετικά με τη βιωσιμότητα ή ρυθμιστικά γεγονότα.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hanging="159"/>
        <w:spacing w:after="0" w:line="193" w:lineRule="auto"/>
        <w:tabs>
          <w:tab w:leader="none" w:pos="160" w:val="left"/>
        </w:tabs>
        <w:numPr>
          <w:ilvl w:val="0"/>
          <w:numId w:val="1"/>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4"/>
          <w:szCs w:val="14"/>
          <w:color w:val="auto"/>
        </w:rPr>
        <w:t xml:space="preserve"> Άλλοι σημαντικοί παράγοντες είναι οι πολιτικοί και οικονομικοί</w:t>
      </w:r>
    </w:p>
    <w:p>
      <w:pPr>
        <w:spacing w:after="0" w:line="29"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νέα, κέρδη της εταιρείας και σημαντικά εταιρικά γεγονότα.</w:t>
      </w:r>
    </w:p>
    <w:p>
      <w:pPr>
        <w:spacing w:after="0" w:line="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-83820</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0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701" w:lineRule="exact"/>
        <w:rPr>
          <w:sz w:val="24"/>
          <w:szCs w:val="24"/>
          <w:color w:val="auto"/>
        </w:rPr>
      </w:pPr>
    </w:p>
    <w:p>
      <w:pPr>
        <w:sectPr>
          <w:pgSz w:w="11900" w:h="16838" w:orient="portrait"/>
          <w:cols w:equalWidth="0" w:num="2">
            <w:col w:w="5180" w:space="380"/>
            <w:col w:w="5020"/>
          </w:cols>
          <w:pgMar w:left="640" w:top="573" w:right="68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580"/>
          </w:cols>
          <w:pgMar w:left="640" w:top="573" w:right="68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3"/>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0,15%**</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εγκαινιάστηκε το 2015.</w:t>
      </w:r>
      <w:r>
        <w:rPr xmlns:w="http://schemas.openxmlformats.org/wordprocessingml/2006/main">
          <w:rFonts w:ascii="Arial" w:cs="Arial" w:eastAsia="Arial" w:hAnsi="Arial"/>
          <w:sz w:val="15"/>
          <w:szCs w:val="15"/>
          <w:color w:val="auto"/>
        </w:rPr>
        <w:t xml:space="preserve"> Η Share Class ξεκίνησε το 2015.</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ind w:right="120" w:firstLine="8"/>
        <w:spacing w:after="0" w:line="328" w:lineRule="auto"/>
        <w:tabs>
          <w:tab w:leader="none" w:pos="120" w:val="left"/>
        </w:tabs>
        <w:numPr>
          <w:ilvl w:val="0"/>
          <w:numId w:val="4"/>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Δείκτης αναφοράς:S&amp;P 500 Capped 35/20 Health Care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2013</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6,1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13,0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25,7</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-2,3</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580" w:type="dxa"/>
            <w:vAlign w:val="bottom"/>
            <w:tcBorders>
              <w:right w:val="single" w:sz="8" w:color="808080"/>
            </w:tcBorders>
            <w:vMerge w:val="restart"/>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5,9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12,8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25,5</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-2,4</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από την τελευταία ετήσια έκθεση και τις εξαμηνιαίες εκθέσεις της iShares V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V plc, μια δομή ομπρέλα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Αυτό το έγγραφο αφορά</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την κατηγορία Ταμείο και Μετοχή που αναφέρεται στην αρχή του παρόντος εγγράφου.</w:t>
      </w:r>
      <w:r>
        <w:rPr xmlns:w="http://schemas.openxmlformats.org/wordprocessingml/2006/main">
          <w:rFonts w:ascii="Arial" w:cs="Arial" w:eastAsia="Arial" w:hAnsi="Arial"/>
          <w:sz w:val="15"/>
          <w:szCs w:val="15"/>
          <w:color w:val="auto"/>
        </w:rPr>
        <w:t xml:space="preserve"> Ωστόσο, το ενημερωτικό δελτίο, οι ετήσιες και οι εξαμηνιαίες εκθέσεις συντάσσονται για το γενικό πλαίσιο.</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Η iShares V plc μπορεί να θεωρηθεί υπεύθυνη μόνο βάσει παραπλανητικής, ανακριβούς ή ασυμβατής με τα σχετικά μέρη δήλωσης που περιέχεται στο παρόν έγγραφο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του ενημερωτικού δελτίου του ταμείου.</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διατίθεται στη διεύθυνση http://deutsche-boerse.com ή/και http://www.reuters.com.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2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V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V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6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μεταβίβαση μετοχών μεταξύ του Ταμείου και άλλων επιμέρους κεφαλαίων εντός της iShares V plc δεν είναι διαθέσιμη στους επενδυτές.</w:t>
      </w:r>
      <w:r>
        <w:rPr xmlns:w="http://schemas.openxmlformats.org/wordprocessingml/2006/main">
          <w:rFonts w:ascii="Arial" w:cs="Arial" w:eastAsia="Arial" w:hAnsi="Arial"/>
          <w:sz w:val="16"/>
          <w:szCs w:val="16"/>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στις 31 Ιανουαρίου 2023</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DDDF22F"/>
    <w:multiLevelType w:val="hybridMultilevel"/>
    <w:lvl w:ilvl="0">
      <w:lvlJc w:val="left"/>
      <w:lvlText w:val="-"/>
      <w:numFmt w:val="bullet"/>
      <w:start w:val="1"/>
    </w:lvl>
  </w:abstractNum>
  <w:abstractNum w:abstractNumId="1">
    <w:nsid w:val="34B03531"/>
    <w:multiLevelType w:val="hybridMultilevel"/>
    <w:lvl w:ilvl="0">
      <w:lvlJc w:val="left"/>
      <w:lvlText w:val="-"/>
      <w:numFmt w:val="bullet"/>
      <w:start w:val="1"/>
    </w:lvl>
  </w:abstractNum>
  <w:abstractNum w:abstractNumId="2">
    <w:nsid w:val="37D0F179"/>
    <w:multiLevelType w:val="hybridMultilevel"/>
    <w:lvl w:ilvl="0">
      <w:lvlJc w:val="left"/>
      <w:lvlText w:val="**"/>
      <w:numFmt w:val="bullet"/>
      <w:start w:val="1"/>
    </w:lvl>
  </w:abstractNum>
  <w:abstractNum w:abstractNumId="3">
    <w:nsid w:val="3B5D6B0"/>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jpe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jpe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jpeg"/><Relationship Id="rId53" Type="http://schemas.openxmlformats.org/officeDocument/2006/relationships/image" Target="media/image4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2024-05-20T14:19:57Z</dcterms:created>
  <dcterms:modified xsi:type="dcterms:W3CDTF">2024-05-20T14:19:57Z</dcterms:modified>
</cp:coreProperties>
</file>