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327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32790"/>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Έγγραφο βασικών πληροφοριών</w:t>
      </w:r>
    </w:p>
    <w:p>
      <w:pPr>
        <w:spacing w:after="0" w:line="200" w:lineRule="exact"/>
        <w:rPr>
          <w:sz w:val="24"/>
          <w:szCs w:val="24"/>
          <w:color w:val="auto"/>
        </w:rPr>
      </w:pPr>
    </w:p>
    <w:p>
      <w:pPr>
        <w:spacing w:after="0" w:line="22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Αντικείμενο</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color w:val="auto"/>
        </w:rPr>
        <w:t xml:space="preserve"> 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Προϊόν</w:t>
      </w:r>
    </w:p>
    <w:p>
      <w:pPr>
        <w:spacing w:after="0" w:line="22"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Μετοχές STOXX Europe 600 ΟΣΕΚΑ ETF (DE)</w:t>
      </w:r>
      <w:r>
        <w:rPr xmlns:w="http://schemas.openxmlformats.org/wordprocessingml/2006/main">
          <w:rFonts w:ascii="Arial" w:cs="Arial" w:eastAsia="Arial" w:hAnsi="Arial"/>
          <w:sz w:val="16"/>
          <w:szCs w:val="16"/>
          <w:color w:val="auto"/>
        </w:rPr>
        <w:t xml:space="preserve"> (το «Ταμείο»), ISIN:</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DE0002635307</w:t>
      </w:r>
      <w:r>
        <w:rPr xmlns:w="http://schemas.openxmlformats.org/wordprocessingml/2006/main">
          <w:rFonts w:ascii="Arial" w:cs="Arial" w:eastAsia="Arial" w:hAnsi="Arial"/>
          <w:sz w:val="16"/>
          <w:szCs w:val="16"/>
          <w:color w:val="auto"/>
        </w:rPr>
        <w:t xml:space="preserve">, έχει λάβει άδεια στη Γερμανία και κατασκευάζεται από την BlackRock Asset Management Deutschland AG (η "Manager"), η οποία αποτελεί μέρος του ομίλου BlackRock, Inc.</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διαχειριστής έχει λάβει άδεια λειτουργίας στη Γερμανία και υπόκειται σε ρύθμιση από την Ομοσπονδιακή Εποπτική Αρχή Χρηματοπιστωτικών Υπηρεσιών (BaFin) και η BaFin είναι υπεύθυνη για την εποπτεία του διαχειριστή σε σχέση με το παρόν έγγραφο βασικών πληροφοριών.</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Περισσότερες πληροφορίες διατίθενται στη διεύθυνση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ή καλώντας </w:t>
      </w:r>
      <w:r>
        <w:rPr xmlns:w="http://schemas.openxmlformats.org/wordprocessingml/2006/main">
          <w:rFonts w:ascii="Arial" w:cs="Arial" w:eastAsia="Arial" w:hAnsi="Arial"/>
          <w:sz w:val="16"/>
          <w:szCs w:val="16"/>
          <w:b w:val="1"/>
          <w:bCs w:val="1"/>
          <w:color w:val="auto"/>
        </w:rPr>
        <w:t xml:space="preserve">+49 (0) 89 42729 5858</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Το παρόν έγγραφο φέρει ημερομηνία 13 Φεβρουαρίου 2023.</w:t>
      </w:r>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είναι αυτό το προϊόν;</w:t>
      </w:r>
    </w:p>
    <w:p>
      <w:pPr>
        <w:spacing w:after="0" w:line="1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Τύπος:</w:t>
      </w:r>
      <w:r>
        <w:rPr xmlns:w="http://schemas.openxmlformats.org/wordprocessingml/2006/main">
          <w:rFonts w:ascii="Arial" w:cs="Arial" w:eastAsia="Arial" w:hAnsi="Arial"/>
          <w:sz w:val="16"/>
          <w:szCs w:val="16"/>
          <w:color w:val="auto"/>
        </w:rPr>
        <w:t xml:space="preserve"> Το Ταμείο είναι unit trust (Sondervermoegen) σύμφωνα με το γερμανικό δίκαιο, που έχει λάβει άδεια από την Ομοσπονδιακή Εποπτική Αρχή Χρηματοπιστωτικών Υπηρεσιών ως οργανισμός συλλογικών επενδύσεων σε κινητές αξίες ("ΟΣΕΚΑ").</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Όρος:</w:t>
      </w:r>
      <w:r>
        <w:rPr xmlns:w="http://schemas.openxmlformats.org/wordprocessingml/2006/main">
          <w:rFonts w:ascii="Arial" w:cs="Arial" w:eastAsia="Arial" w:hAnsi="Arial"/>
          <w:sz w:val="16"/>
          <w:szCs w:val="16"/>
          <w:color w:val="auto"/>
        </w:rPr>
        <w:t xml:space="preserve"> Το Ταμείο δεν έχει καθορισμένη διάρκεια ύπαρξης ή περίοδο λήξης, αλλά σε ορισμένες περιπτώσεις, όπως περιγράφεται στο ενημερωτικό δελτίο του Ταμείου, το Ταμείο μπορεί να καταγγελθεί μονομερώς από το Διαχειριστή κατόπιν εύλογης προειδοποίησης προς τους μεριδιούχους, με την επιφύλαξη της συμμόρφωσης με το ενημερωτικό δελτίο του Ταμείου και τον ισχύοντα κανονισμό.</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Στόχοι</w:t>
      </w:r>
    </w:p>
    <w:p>
      <w:pPr>
        <w:spacing w:after="0" w:line="14" w:lineRule="exact"/>
        <w:rPr>
          <w:sz w:val="24"/>
          <w:szCs w:val="24"/>
          <w:color w:val="auto"/>
        </w:rPr>
      </w:pPr>
    </w:p>
    <w:p>
      <w:pPr xmlns:w="http://schemas.openxmlformats.org/wordprocessingml/2006/main">
        <w:jc w:val="both"/>
        <w:ind w:left="26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Η Unit Class iShares STOXX Europe 600 ΟΣΕΚΑ ETF (DE) EUR (Dist) (η « Unit Class ») είναι μια κατηγορία μονάδων των iShares STOXX Europe 600 ΟΣΕΚΑ ETF (DE) (το « Fund »), το οποίο είναι ένα παθητικά διαχειριζόμενο διαπραγματεύσιμο αμοιβαίο κεφάλαιο (ETF) που αποσκοπεί στην όσο το δυνατόν στενότερη παρακολούθηση των επιδόσεων του STOXX® Europe 600 (Price Index).</w:t>
      </w:r>
      <w:r>
        <w:rPr xmlns:w="http://schemas.openxmlformats.org/wordprocessingml/2006/main">
          <w:rFonts w:ascii="Arial" w:cs="Arial" w:eastAsia="Arial" w:hAnsi="Arial"/>
          <w:sz w:val="16"/>
          <w:szCs w:val="16"/>
          <w:color w:val="auto"/>
        </w:rPr>
        <w:t xml:space="preserve"> Εν προκειμένω, αποσκοπεί στην αναπαραγωγή του δείκτη αναφοράς (δείκτης).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-332105</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Δείκτης μετρά την απόδοση των 600 μετοχών με ελεύθερη χρηματιστηριακή αξία στις μεγαλύτερες μετοχές σε 17 ανεπτυγμένες ευρωπαϊκές χώρες.</w:t>
      </w:r>
      <w:r>
        <w:rPr xmlns:w="http://schemas.openxmlformats.org/wordprocessingml/2006/main">
          <w:rFonts w:ascii="Arial" w:cs="Arial" w:eastAsia="Arial" w:hAnsi="Arial"/>
          <w:sz w:val="16"/>
          <w:szCs w:val="16"/>
          <w:color w:val="auto"/>
        </w:rPr>
        <w:t xml:space="preserve"> Ο δείκτης επανεξισορροπείται ανά τρίμηνο με στοιχεία σταθμισμένα βάσει της ελεύθερης χρηματιστηριακής αξίας και με ανώτατο όριο το 20% για να διατηρηθεί η διαφοροποίηση.</w:t>
      </w:r>
      <w:r>
        <w:rPr xmlns:w="http://schemas.openxmlformats.org/wordprocessingml/2006/main">
          <w:rFonts w:ascii="Arial" w:cs="Arial" w:eastAsia="Arial" w:hAnsi="Arial"/>
          <w:sz w:val="16"/>
          <w:szCs w:val="16"/>
          <w:color w:val="auto"/>
        </w:rPr>
        <w:t xml:space="preserve"> Η ελεύθερη χρηματιστηριακή αξία είναι η αγοραία αξία των άμεσα διαθέσιμων μετοχών μιας εταιρείας.</w:t>
      </w:r>
      <w:r>
        <w:rPr xmlns:w="http://schemas.openxmlformats.org/wordprocessingml/2006/main">
          <w:rFonts w:ascii="Arial" w:cs="Arial" w:eastAsia="Arial" w:hAnsi="Arial"/>
          <w:sz w:val="16"/>
          <w:szCs w:val="16"/>
          <w:color w:val="auto"/>
        </w:rPr>
        <w:t xml:space="preserve"> Το Ταμείο επενδύει κυρίως σε μετοχές προκειμένου να επιτύχει τον επενδυτικό στόχο.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Το ποσοστό των στοιχείων ενεργητικού του Ταμείου που αντιστοιχεί στη στάθμιση του δείκτη (ποσοστό αναπαραγωγής) ανέρχεται τουλάχιστον στο 95% των στοιχείων ενεργητικού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72" w:lineRule="exact"/>
        <w:rPr>
          <w:sz w:val="24"/>
          <w:szCs w:val="24"/>
          <w:color w:val="auto"/>
        </w:rPr>
      </w:pP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Πρόθεση του διαχειριστή επενδύσεων δεν είναι η μόχλευση του Ταμείου.</w:t>
      </w:r>
      <w:r>
        <w:rPr xmlns:w="http://schemas.openxmlformats.org/wordprocessingml/2006/main">
          <w:rFonts w:ascii="Arial" w:cs="Arial" w:eastAsia="Arial" w:hAnsi="Arial"/>
          <w:sz w:val="16"/>
          <w:szCs w:val="16"/>
          <w:color w:val="auto"/>
        </w:rPr>
        <w:t xml:space="preserve"> Ωστόσο, το Ταμείο μπορεί να παράγει ελάχιστα ποσά μόχλευσης κατά καιρούς, για παράδειγμα, αν χρησιμοποιεί χρηματοοικονομικά παράγωγα μέσα (ΑΞΕ) για σκοπούς αποτελεσματικής διαχείρισης χαρτοφυλακίου.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τιμή των μετοχικών τίτλων κυμαίνεται καθημερινά και μπορεί να επηρεαστεί από παράγοντες που επηρεάζουν τις επιδόσεις των μεμονωμένων εταιρειών που εκδίδουν τις μετοχές, καθώς και από τις καθημερινές κινήσεις των χρηματιστηρίων, και από ευρύτερες οικονομικές και πολιτικές εξελίξεις που με τη σειρά τους μπορεί να επηρεάσουν την αξία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απόδοση της επένδυσης στο Ταμείο σχετίζεται άμεσα με την αξία των υποκείμενων περιουσιακών στοιχείων του Ταμείου, μείον το κόστος (βλέπε «Ποιες είναι οι δαπάνες;»)</w:t>
      </w:r>
      <w:r>
        <w:rPr xmlns:w="http://schemas.openxmlformats.org/wordprocessingml/2006/main">
          <w:rFonts w:ascii="Arial" w:cs="Arial" w:eastAsia="Arial" w:hAnsi="Arial"/>
          <w:sz w:val="16"/>
          <w:szCs w:val="16"/>
          <w:color w:val="auto"/>
        </w:rPr>
        <w:t xml:space="preserve"> παρακάτω).</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line="260" w:lineRule="auto"/>
        <w:rPr>
          <w:sz w:val="20"/>
          <w:szCs w:val="20"/>
          <w:color w:val="auto"/>
        </w:rPr>
      </w:pPr>
      <w:r>
        <w:rPr xmlns:w="http://schemas.openxmlformats.org/wordprocessingml/2006/main">
          <w:rFonts w:ascii="Arial" w:cs="Arial" w:eastAsia="Arial" w:hAnsi="Arial"/>
          <w:sz w:val="16"/>
          <w:szCs w:val="16"/>
          <w:color w:val="auto"/>
        </w:rPr>
        <w:t xml:space="preserve">Η σχέση μεταξύ της απόδοσης της επένδυσης, του τρόπου με τον οποίο αυτή επηρεάζεται και της περιόδου για την οποία διατηρείτε την επένδυση, εξετάζεται παρακάτω (βλέπε «Πόσο καιρό θα πρέπει να την κρατήσω και μπορώ να βγάλω τα χρήματά μου νωρίς;»).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Ο θεματοφύλακας του Ταμείου είναι η State Street Bank International GmbH.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-220980</wp:posOffset>
            </wp:positionV>
            <wp:extent cx="71755" cy="717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22225</wp:posOffset>
            </wp:positionV>
            <wp:extent cx="71755" cy="717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56" w:lineRule="exact"/>
        <w:rPr>
          <w:sz w:val="24"/>
          <w:szCs w:val="24"/>
          <w:color w:val="auto"/>
        </w:rPr>
      </w:pP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Περισσότερες πληροφορίες σχετικά με το Ταμείο παρέχονται από την τελευταία ετήσια έκθεση και τις εξαμηνιαίες εκθέσεις του Ταμείου.</w:t>
      </w:r>
      <w:r>
        <w:rPr xmlns:w="http://schemas.openxmlformats.org/wordprocessingml/2006/main">
          <w:rFonts w:ascii="Arial" w:cs="Arial" w:eastAsia="Arial" w:hAnsi="Arial"/>
          <w:sz w:val="16"/>
          <w:szCs w:val="16"/>
          <w:color w:val="auto"/>
        </w:rPr>
        <w:t xml:space="preserve"> Τα έγγραφα αυτά διατίθενται δωρεάν στα γερμανικά, αγγλικά και σε ορισμένες άλλες γλώσσες.</w:t>
      </w:r>
      <w:r>
        <w:rPr xmlns:w="http://schemas.openxmlformats.org/wordprocessingml/2006/main">
          <w:rFonts w:ascii="Arial" w:cs="Arial" w:eastAsia="Arial" w:hAnsi="Arial"/>
          <w:sz w:val="16"/>
          <w:szCs w:val="16"/>
          <w:color w:val="auto"/>
        </w:rPr>
        <w:t xml:space="preserve"> Αυτά μπορούν να βρεθούν, μαζί με άλλες (πρακτικές) πληροφορίες, συμπεριλαμβανομένων των τιμών των μονάδων, με e-mail info@iShares.de ή από www.ishares.com ή με κλήση +49 (0) 89 42729 5858.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μονάδες του Ταμείου διανέμουν μονάδες.</w:t>
      </w:r>
      <w:r>
        <w:rPr xmlns:w="http://schemas.openxmlformats.org/wordprocessingml/2006/main">
          <w:rFonts w:ascii="Arial" w:cs="Arial" w:eastAsia="Arial" w:hAnsi="Arial"/>
          <w:sz w:val="16"/>
          <w:szCs w:val="16"/>
          <w:color w:val="auto"/>
        </w:rPr>
        <w:t xml:space="preserve"> Τα έσοδα από τις επενδύσεις του Ταμείου θα καταβάλλονται τουλάχιστον μία φορά τον χρόνο ως μέρισμα.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μονάδες του Ταμείου εκφράζονται σε ευρώ.</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right="2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Οι μονάδες είναι εισηγμένες σε ένα ή περισσότερα χρηματιστήρια.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Οι επενδυτές μπορούν να αγοράζουν ή να πωλούν τα μερίδιά τους καθημερινά κατά τις εργάσιμες ώρες μέσω ενός ενδιάμεσου στο εν λόγω χρηματιστήριο ή χρηματιστήρια.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Επιδιωκόμενος ιδιώτης επενδυτής:</w:t>
      </w:r>
      <w:r>
        <w:rPr xmlns:w="http://schemas.openxmlformats.org/wordprocessingml/2006/main">
          <w:rFonts w:ascii="Arial" w:cs="Arial" w:eastAsia="Arial" w:hAnsi="Arial"/>
          <w:sz w:val="16"/>
          <w:szCs w:val="16"/>
          <w:color w:val="auto"/>
        </w:rPr>
        <w:t xml:space="preserve"> Το Ταμείο αυτό προορίζεται για ιδιώτες επενδυτές με βασικές γνώσεις και εμπειρία, με την ικανότητα να αναλαμβάνουν ζημίες μέχρι του ποσού που επενδύεται στο Ταμείο.</w:t>
      </w:r>
      <w:r>
        <w:rPr xmlns:w="http://schemas.openxmlformats.org/wordprocessingml/2006/main">
          <w:rFonts w:ascii="Arial" w:cs="Arial" w:eastAsia="Arial" w:hAnsi="Arial"/>
          <w:sz w:val="16"/>
          <w:szCs w:val="16"/>
          <w:color w:val="auto"/>
        </w:rPr>
        <w:t xml:space="preserve"> Αυτό το Ταμείο είναι κατάλληλο για μεσοπρόθεσμες έως μακροπρόθεσμες επενδύσεις, αν και το Ταμείο μπορεί επίσης να είναι κατάλληλο για βραχυπρόθεσμη έκθεση στο Δείκτη (βλ. «Πόσο καιρό θα πρέπει να το κρατήσω και μπορώ να βγάλω τα χρήματά μου νωρίς;»).</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Παροχές ασφάλισης:</w:t>
      </w:r>
      <w:r>
        <w:rPr xmlns:w="http://schemas.openxmlformats.org/wordprocessingml/2006/main">
          <w:rFonts w:ascii="Arial" w:cs="Arial" w:eastAsia="Arial" w:hAnsi="Arial"/>
          <w:sz w:val="16"/>
          <w:szCs w:val="16"/>
          <w:color w:val="auto"/>
        </w:rPr>
        <w:t xml:space="preserve"> Το Ταμείο δεν προσφέρει ασφαλιστικές παροχές.</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4"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Ποιοι είναι οι κίνδυνοι και τι θα μπορούσα να πάρω ως αντάλλαγμα;</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6839585" cy="895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ind w:left="20"/>
        <w:spacing w:after="0"/>
        <w:tabs>
          <w:tab w:leader="none" w:pos="10000" w:val="left"/>
        </w:tabs>
        <w:rPr>
          <w:sz w:val="20"/>
          <w:szCs w:val="20"/>
          <w:color w:val="auto"/>
        </w:rPr>
      </w:pPr>
      <w:r>
        <w:rPr xmlns:w="http://schemas.openxmlformats.org/wordprocessingml/2006/main">
          <w:rFonts w:ascii="Arial" w:cs="Arial" w:eastAsia="Arial" w:hAnsi="Arial"/>
          <w:sz w:val="14"/>
          <w:szCs w:val="14"/>
          <w:b w:val="1"/>
          <w:bCs w:val="1"/>
          <w:color w:val="auto"/>
        </w:rPr>
        <w:t xml:space="preserve">Μείωση κινδύνου</w:t>
        <w:tab xmlns:w="http://schemas.openxmlformats.org/wordprocessingml/2006/main"/>
      </w:r>
      <w:r>
        <w:rPr xmlns:w="http://schemas.openxmlformats.org/wordprocessingml/2006/main">
          <w:rFonts w:ascii="Arial" w:cs="Arial" w:eastAsia="Arial" w:hAnsi="Arial"/>
          <w:sz w:val="14"/>
          <w:szCs w:val="14"/>
          <w:b w:val="1"/>
          <w:bCs w:val="1"/>
          <w:color w:val="auto"/>
        </w:rPr>
        <w:t xml:space="preserve">Υψηλότερος κίνδυνος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46355</wp:posOffset>
            </wp:positionV>
            <wp:extent cx="6840220" cy="6515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2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6"/>
          <w:szCs w:val="16"/>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118" w:lineRule="exact"/>
        <w:rPr>
          <w:sz w:val="20"/>
          <w:szCs w:val="20"/>
          <w:color w:val="auto"/>
        </w:rPr>
      </w:pP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6"/>
          <w:szCs w:val="16"/>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Έχουμε ταξινομήσει αυτό το προϊόν ως 4 από 7, το οποίο είναι μια μεσαία κατηγορία κινδύνου.</w:t>
      </w:r>
      <w:r>
        <w:rPr xmlns:w="http://schemas.openxmlformats.org/wordprocessingml/2006/main">
          <w:rFonts w:ascii="Arial" w:cs="Arial" w:eastAsia="Arial" w:hAnsi="Arial"/>
          <w:sz w:val="16"/>
          <w:szCs w:val="16"/>
          <w:color w:val="auto"/>
        </w:rPr>
        <w:t xml:space="preserve"> Αυτή η ταξινόμηση αξιολογεί τις πιθανές απώλειες από τις μελλοντικές επιδόσεις σε ένα μέσο επίπεδο, και οι κακές συνθήκες της αγοράς θα μπορούσαν να επηρεάσουν την αξία της επένδυσής σας.</w:t>
      </w:r>
      <w:r>
        <w:rPr xmlns:w="http://schemas.openxmlformats.org/wordprocessingml/2006/main">
          <w:rFonts w:ascii="Arial" w:cs="Arial" w:eastAsia="Arial" w:hAnsi="Arial"/>
          <w:sz w:val="16"/>
          <w:szCs w:val="16"/>
          <w:color w:val="auto"/>
        </w:rPr>
        <w:t xml:space="preserve"> Η ταξινόμηση αυτή δεν είναι εγγυημένη και ενδέχεται να μεταβληθεί με την πάροδο του χρόνου και ενδέχεται να μην αποτελεί αξιόπιστη ένδειξη του μελλοντικού προφίλ κινδύνου του Ταμείου.</w:t>
      </w:r>
      <w:r>
        <w:rPr xmlns:w="http://schemas.openxmlformats.org/wordprocessingml/2006/main">
          <w:rFonts w:ascii="Arial" w:cs="Arial" w:eastAsia="Arial" w:hAnsi="Arial"/>
          <w:sz w:val="16"/>
          <w:szCs w:val="16"/>
          <w:color w:val="auto"/>
        </w:rPr>
        <w:t xml:space="preserve"> Η χαμηλότερη κατηγορία δεν σημαίνει μηδενικό κίνδυνο.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-338455</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8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6"/>
          <w:szCs w:val="16"/>
          <w:color w:val="auto"/>
        </w:rPr>
        <w:t xml:space="preserve"> Αν λάβετε πληρωμές σε νόμισμα διαφορετικό από το βασικό νόμισμα του προϊόντος, η τελική απόδοση που θα λάβετε εξαρτάται από τη συναλλαγματική ισοτιμία μεταξύ των δύο νομισμάτων.</w:t>
      </w:r>
      <w:r>
        <w:rPr xmlns:w="http://schemas.openxmlformats.org/wordprocessingml/2006/main">
          <w:rFonts w:ascii="Arial" w:cs="Arial" w:eastAsia="Arial" w:hAnsi="Arial"/>
          <w:sz w:val="16"/>
          <w:szCs w:val="16"/>
          <w:color w:val="auto"/>
        </w:rPr>
        <w:t xml:space="preserve"> Ο κίνδυνος αυτός δεν λαμβάνεται υπόψη στον προαναφερόμενο δείκτη.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ή στο δελτίο AIFMD για λεπτομέρειες σχετικά με άλλους σημαντικούς κινδύνους που ενδέχεται να ισχύουν για το παρόν προϊόν.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Αν το προϊόν δεν είναι σε θέση να σας πληρώσει τι οφείλεται, θα μπορούσατε να χάσετε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Σενάρια επιδόσεων</w:t>
      </w:r>
    </w:p>
    <w:p>
      <w:pPr>
        <w:spacing w:after="0" w:line="32" w:lineRule="exact"/>
        <w:rPr>
          <w:sz w:val="20"/>
          <w:szCs w:val="20"/>
          <w:color w:val="auto"/>
        </w:rPr>
      </w:pPr>
    </w:p>
    <w:p>
      <w:pPr xmlns:w="http://schemas.openxmlformats.org/wordprocessingml/2006/main">
        <w:jc w:val="both"/>
        <w:ind w:left="40" w:right="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Arial" w:cs="Arial" w:eastAsia="Arial" w:hAnsi="Arial"/>
          <w:sz w:val="16"/>
          <w:szCs w:val="16"/>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Arial" w:cs="Arial" w:eastAsia="Arial" w:hAnsi="Arial"/>
          <w:sz w:val="16"/>
          <w:szCs w:val="16"/>
          <w:color w:val="auto"/>
        </w:rPr>
        <w:t xml:space="preserve"> 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6"/>
          <w:szCs w:val="16"/>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Arial" w:cs="Arial" w:eastAsia="Arial" w:hAnsi="Arial"/>
          <w:sz w:val="16"/>
          <w:szCs w:val="16"/>
          <w:color w:val="auto"/>
        </w:rPr>
        <w:t xml:space="preserve"> Τα δυσμενή, μέτρια και ευνοϊκά σενάρια που παρουσιάζονται είναι απεικονίσεις που χρησιμοποιούν τη χειρότερη, μέση και βέλτιστη απόδοση του προϊόντος, η οποία μπορεί να περιλαμβάνει εισροές από δείκτες αναφοράς / δείκτες αναφοράς, κατά τη διάρκεια των τελευταίων δέκα ετών.</w:t>
      </w:r>
      <w:r>
        <w:rPr xmlns:w="http://schemas.openxmlformats.org/wordprocessingml/2006/main">
          <w:rFonts w:ascii="Arial" w:cs="Arial" w:eastAsia="Arial" w:hAnsi="Arial"/>
          <w:sz w:val="16"/>
          <w:szCs w:val="16"/>
          <w:color w:val="auto"/>
        </w:rPr>
        <w:t xml:space="preserve"> Οι αγορές θα μπορούσαν να αναπτυχθούν πολύ διαφορετικά στο μέλλον.</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590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Συνιστώμενη περίοδος διατήρησης:</w:t>
            </w:r>
            <w:r>
              <w:rPr xmlns:w="http://schemas.openxmlformats.org/wordprocessingml/2006/main">
                <w:rFonts w:ascii="Arial" w:cs="Arial" w:eastAsia="Arial" w:hAnsi="Arial"/>
                <w:sz w:val="16"/>
                <w:szCs w:val="16"/>
                <w:b w:val="1"/>
                <w:bCs w:val="1"/>
                <w:color w:val="FFFFFF"/>
              </w:rPr>
              <w:t xml:space="preserve"> 5 χρόνια</w:t>
            </w:r>
          </w:p>
        </w:tc>
        <w:tc>
          <w:tcPr>
            <w:tcW w:w="4880" w:type="dxa"/>
            <w:vAlign w:val="bottom"/>
            <w:gridSpan w:val="2"/>
            <w:shd w:val="clear" w:color="auto" w:fill="000000"/>
          </w:tcPr>
          <w:p>
            <w:pPr xmlns:w="http://schemas.openxmlformats.org/wordprocessingml/2006/main">
              <w:ind w:left="19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Παράδειγμα Επένδυση:</w:t>
            </w:r>
            <w:r>
              <w:rPr xmlns:w="http://schemas.openxmlformats.org/wordprocessingml/2006/main">
                <w:rFonts w:ascii="Arial" w:cs="Arial" w:eastAsia="Arial" w:hAnsi="Arial"/>
                <w:sz w:val="16"/>
                <w:szCs w:val="16"/>
                <w:b w:val="1"/>
                <w:bCs w:val="1"/>
                <w:color w:val="FFFFFF"/>
              </w:rPr>
              <w:t xml:space="preserve"> 10.000 ευρώ</w:t>
            </w:r>
          </w:p>
        </w:tc>
      </w:tr>
      <w:tr>
        <w:trPr>
          <w:trHeight w:val="223"/>
        </w:trPr>
        <w:tc>
          <w:tcPr>
            <w:tcW w:w="190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4000" w:type="dxa"/>
            <w:vAlign w:val="bottom"/>
            <w:tcBorders>
              <w:bottom w:val="single" w:sz="8" w:color="auto"/>
            </w:tcBorders>
            <w:shd w:val="clear" w:color="auto" w:fill="000000"/>
          </w:tcPr>
          <w:p>
            <w:pPr>
              <w:spacing w:after="0"/>
              <w:rPr>
                <w:sz w:val="19"/>
                <w:szCs w:val="19"/>
                <w:color w:val="auto"/>
              </w:rPr>
            </w:pPr>
          </w:p>
        </w:tc>
        <w:tc>
          <w:tcPr>
            <w:tcW w:w="2920" w:type="dxa"/>
            <w:vAlign w:val="bottom"/>
            <w:tcBorders>
              <w:bottom w:val="single" w:sz="8" w:color="auto"/>
            </w:tcBorders>
            <w:shd w:val="clear" w:color="auto" w:fill="000000"/>
          </w:tcPr>
          <w:p>
            <w:pPr xmlns:w="http://schemas.openxmlformats.org/wordprocessingml/2006/main">
              <w:ind w:left="11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1 έτος</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5 χρόνια</w:t>
            </w:r>
          </w:p>
        </w:tc>
      </w:tr>
      <w:tr>
        <w:trPr>
          <w:trHeight w:val="187"/>
        </w:trPr>
        <w:tc>
          <w:tcPr>
            <w:tcW w:w="19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Ελάχιστο</w:t>
            </w:r>
          </w:p>
        </w:tc>
        <w:tc>
          <w:tcPr>
            <w:tcW w:w="6920" w:type="dxa"/>
            <w:vAlign w:val="bottom"/>
            <w:tcBorders>
              <w:bottom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Δεν υπάρχει ελάχιστη εγγυημένη απόδοση.</w:t>
            </w:r>
            <w:r>
              <w:rPr xmlns:w="http://schemas.openxmlformats.org/wordprocessingml/2006/main">
                <w:rFonts w:ascii="Arial" w:cs="Arial" w:eastAsia="Arial" w:hAnsi="Arial"/>
                <w:sz w:val="16"/>
                <w:szCs w:val="16"/>
                <w:b w:val="1"/>
                <w:bCs w:val="1"/>
                <w:color w:val="auto"/>
              </w:rPr>
              <w:t xml:space="preserve"> Θα μπορούσες να χάσεις κάποια ή όλα τα λεφτά σου.</w:t>
            </w:r>
          </w:p>
        </w:tc>
        <w:tc>
          <w:tcPr>
            <w:tcW w:w="1980" w:type="dxa"/>
            <w:vAlign w:val="bottom"/>
            <w:tcBorders>
              <w:bottom w:val="single" w:sz="8" w:color="auto"/>
            </w:tcBorders>
          </w:tcPr>
          <w:p>
            <w:pPr>
              <w:spacing w:after="0"/>
              <w:rPr>
                <w:sz w:val="16"/>
                <w:szCs w:val="16"/>
                <w:color w:val="auto"/>
              </w:rPr>
            </w:pP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6.850 ΕΥΡΩ</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3.360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-31,5%</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-19,6%</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ευνοϊκό</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8.450 ΕΥΡΩ</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9.090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-15,5%</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-1,9%</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Μέτρια</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10.880 ΕΥΡΩ</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13.750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8,8%</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6,6%</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Ευνοϊκή</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13.790 EUR</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18.330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37,9%</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12,9%</w:t>
            </w:r>
          </w:p>
        </w:tc>
      </w:tr>
    </w:tbl>
    <w:p>
      <w:pPr>
        <w:spacing w:after="0" w:line="18" w:lineRule="exact"/>
        <w:rPr>
          <w:sz w:val="20"/>
          <w:szCs w:val="20"/>
          <w:color w:val="auto"/>
        </w:rPr>
      </w:pPr>
    </w:p>
    <w:p>
      <w:pPr xmlns:w="http://schemas.openxmlformats.org/wordprocessingml/2006/main">
        <w:ind w:left="300" w:hanging="288"/>
        <w:spacing w:after="0"/>
        <w:tabs>
          <w:tab w:leader="none" w:pos="30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 σενάριο άγχους δείχνει τι μπορεί να πάρετε πίσω σε ακραίες συνθήκες της αγοράς.</w:t>
      </w:r>
    </w:p>
    <w:p>
      <w:pPr>
        <w:spacing w:after="0" w:line="3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συμβαίνει αν η BlackRock Asset Management Deutschland AG δεν είναι σε θέση να πληρώσει;</w:t>
      </w:r>
    </w:p>
    <w:p>
      <w:pPr>
        <w:spacing w:after="0" w:line="28"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Τα περιουσιακά στοιχεία του Ταμείου φυλάσσονται από τον θεματοφύλακα του, την State Street Bank International GmbH (ο «θεματοφύλακας»).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Σε περίπτωση αφερεγγυότητας του διαχειριστή, δεν θίγονται τα περιουσιακά στοιχεία του Ταμείου για τη φύλαξη του θεματοφύλακα.</w:t>
      </w:r>
      <w:r>
        <w:rPr xmlns:w="http://schemas.openxmlformats.org/wordprocessingml/2006/main">
          <w:rFonts w:ascii="Arial" w:cs="Arial" w:eastAsia="Arial" w:hAnsi="Arial"/>
          <w:sz w:val="16"/>
          <w:szCs w:val="16"/>
          <w:color w:val="auto"/>
        </w:rPr>
        <w:t xml:space="preserve"> Ωστόσο, σε περίπτωση αφερεγγυότητας του θεματοφύλακα, ή σε περίπτωση που κάποιος ενεργεί για λογαριασμό του, το Ταμείο ενδέχεται να υποστεί οικονομική ζημία.</w:t>
      </w:r>
      <w:r>
        <w:rPr xmlns:w="http://schemas.openxmlformats.org/wordprocessingml/2006/main">
          <w:rFonts w:ascii="Arial" w:cs="Arial" w:eastAsia="Arial" w:hAnsi="Arial"/>
          <w:sz w:val="16"/>
          <w:szCs w:val="16"/>
          <w:color w:val="auto"/>
        </w:rPr>
        <w:t xml:space="preserve"> Ωστόσο, ο κίνδυνος αυτός μετριάζεται σε κάποιο βαθμό από το γεγονός ότι ο Θεματοφύλακας υποχρεούται βάσει νόμου και ρύθμισης να διαχωρίζει τα περιουσιακά του στοιχεία από τα περιουσιακά του στοιχεία.</w:t>
      </w:r>
      <w:r>
        <w:rPr xmlns:w="http://schemas.openxmlformats.org/wordprocessingml/2006/main">
          <w:rFonts w:ascii="Arial" w:cs="Arial" w:eastAsia="Arial" w:hAnsi="Arial"/>
          <w:sz w:val="16"/>
          <w:szCs w:val="16"/>
          <w:color w:val="auto"/>
        </w:rPr>
        <w:t xml:space="preserve"> Ο Θεματοφύλακας θα είναι επίσης υπεύθυνος έναντι του Ταμείου και των επενδυτών για κάθε ζημία που προκύπτει, μεταξύ άλλων, από αμέλεια, απάτη ή σκόπιμη παράλειψη της να εκπληρώσει δεόντως τις υποχρεώσεις της (υπό ορισμένους περιορισμούς).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Ως επενδυτής στο Ταμείο δεν θα μπορείτε να διεκδικήσετε οποιοδήποτε σύστημα αποζημίωσης για το Ταμείο σε περίπτωση που το Ταμείο δεν είναι σε θέση να πληρώσει.</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80"/>
          </w:cols>
          <w:pgMar w:left="56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 είναι το κόστος;</w:t>
      </w:r>
    </w:p>
    <w:p>
      <w:pPr>
        <w:spacing w:after="0" w:line="28"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Διαχρονικά κόστη:</w:t>
      </w:r>
      <w:r>
        <w:rPr xmlns:w="http://schemas.openxmlformats.org/wordprocessingml/2006/main">
          <w:rFonts w:ascii="Arial" w:cs="Arial" w:eastAsia="Arial" w:hAnsi="Arial"/>
          <w:sz w:val="16"/>
          <w:szCs w:val="16"/>
          <w:color w:val="auto"/>
        </w:rPr>
        <w:t xml:space="preserve"> 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6"/>
          <w:szCs w:val="16"/>
          <w:color w:val="auto"/>
        </w:rPr>
        <w:t xml:space="preserve"> Αυτά τα ποσά εξαρτώνται από το πόσο επενδύετε, πόσο καιρό κρατάτε το προϊόν και πόσο καλά το προϊόν κάνει.</w:t>
      </w:r>
      <w:r>
        <w:rPr xmlns:w="http://schemas.openxmlformats.org/wordprocessingml/2006/main">
          <w:rFonts w:ascii="Arial" w:cs="Arial" w:eastAsia="Arial" w:hAnsi="Arial"/>
          <w:sz w:val="16"/>
          <w:szCs w:val="16"/>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8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Υποθέσαμε ότι:</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2"/>
        </w:trPr>
        <w:tc>
          <w:tcPr>
            <w:tcW w:w="686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Κατά το πρώτο έτος θα πάρετε πίσω το ποσό που επενδύσατε (0 % ετήσια απόδοση).</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4"/>
        </w:trPr>
        <w:tc>
          <w:tcPr>
            <w:tcW w:w="8820" w:type="dxa"/>
            <w:vAlign w:val="bottom"/>
            <w:gridSpan w:val="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Για τις άλλες περιόδους αναμονής έχουμε υποθέσει ότι το προϊόν αποδίδει όπως φαίνεται στο μέτριο σενάριο.</w:t>
            </w:r>
          </w:p>
        </w:tc>
        <w:tc>
          <w:tcPr>
            <w:tcW w:w="1980" w:type="dxa"/>
            <w:vAlign w:val="bottom"/>
          </w:tcPr>
          <w:p>
            <w:pPr>
              <w:spacing w:after="0"/>
              <w:rPr>
                <w:sz w:val="16"/>
                <w:szCs w:val="16"/>
                <w:color w:val="auto"/>
              </w:rPr>
            </w:pPr>
          </w:p>
        </w:tc>
      </w:tr>
      <w:tr>
        <w:trPr>
          <w:trHeight w:val="174"/>
        </w:trPr>
        <w:tc>
          <w:tcPr>
            <w:tcW w:w="6860" w:type="dxa"/>
            <w:vAlign w:val="bottom"/>
          </w:tcPr>
          <w:p>
            <w:pPr xmlns:w="http://schemas.openxmlformats.org/wordprocessingml/2006/main">
              <w:ind w:left="280"/>
              <w:spacing w:after="0" w:line="175" w:lineRule="exact"/>
              <w:rPr>
                <w:sz w:val="20"/>
                <w:szCs w:val="20"/>
                <w:color w:val="auto"/>
              </w:rPr>
            </w:pPr>
            <w:r>
              <w:rPr xmlns:w="http://schemas.openxmlformats.org/wordprocessingml/2006/main">
                <w:rFonts w:ascii="Arial" w:cs="Arial" w:eastAsia="Arial" w:hAnsi="Arial"/>
                <w:sz w:val="16"/>
                <w:szCs w:val="16"/>
                <w:color w:val="auto"/>
              </w:rPr>
              <w:t xml:space="preserve">Επενδύονται 10.000 ευρώ.</w:t>
            </w:r>
          </w:p>
        </w:tc>
        <w:tc>
          <w:tcPr>
            <w:tcW w:w="1960" w:type="dxa"/>
            <w:vAlign w:val="bottom"/>
          </w:tcPr>
          <w:p>
            <w:pPr>
              <w:spacing w:after="0"/>
              <w:rPr>
                <w:sz w:val="15"/>
                <w:szCs w:val="15"/>
                <w:color w:val="auto"/>
              </w:rPr>
            </w:pPr>
          </w:p>
        </w:tc>
        <w:tc>
          <w:tcPr>
            <w:tcW w:w="1980" w:type="dxa"/>
            <w:vAlign w:val="bottom"/>
          </w:tcPr>
          <w:p>
            <w:pPr>
              <w:spacing w:after="0"/>
              <w:rPr>
                <w:sz w:val="15"/>
                <w:szCs w:val="15"/>
                <w:color w:val="auto"/>
              </w:rPr>
            </w:pPr>
          </w:p>
        </w:tc>
      </w:tr>
      <w:tr>
        <w:trPr>
          <w:trHeight w:val="192"/>
        </w:trPr>
        <w:tc>
          <w:tcPr>
            <w:tcW w:w="686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1960" w:type="dxa"/>
            <w:vAlign w:val="bottom"/>
            <w:tcBorders>
              <w:bottom w:val="single" w:sz="8" w:color="auto"/>
            </w:tcBorders>
            <w:shd w:val="clear" w:color="auto" w:fill="00000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1 έτος</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5 χρόνια</w:t>
            </w:r>
          </w:p>
        </w:tc>
      </w:tr>
      <w:tr>
        <w:trPr>
          <w:trHeight w:val="187"/>
        </w:trPr>
        <w:tc>
          <w:tcPr>
            <w:tcW w:w="686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1960" w:type="dxa"/>
            <w:vAlign w:val="bottom"/>
            <w:tcBorders>
              <w:bottom w:val="single" w:sz="8" w:color="auto"/>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322 ΕΥΡΩ</w:t>
            </w:r>
          </w:p>
        </w:tc>
        <w:tc>
          <w:tcPr>
            <w:tcW w:w="1980" w:type="dxa"/>
            <w:vAlign w:val="bottom"/>
            <w:tcBorders>
              <w:bottom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575 ευρώ</w:t>
            </w:r>
          </w:p>
        </w:tc>
      </w:tr>
      <w:tr>
        <w:trPr>
          <w:trHeight w:val="177"/>
        </w:trPr>
        <w:tc>
          <w:tcPr>
            <w:tcW w:w="686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Επίπτωση στο ετήσιο κόστος (*)</w:t>
            </w:r>
          </w:p>
        </w:tc>
        <w:tc>
          <w:tcPr>
            <w:tcW w:w="1960" w:type="dxa"/>
            <w:vAlign w:val="bottom"/>
            <w:tcBorders>
              <w:bottom w:val="single" w:sz="8" w:color="auto"/>
            </w:tcBorders>
          </w:tcPr>
          <w:p>
            <w:pPr xmlns:w="http://schemas.openxmlformats.org/wordprocessingml/2006/main">
              <w:ind w:left="1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3,2%</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-702945</wp:posOffset>
            </wp:positionV>
            <wp:extent cx="71755" cy="717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-581025</wp:posOffset>
            </wp:positionV>
            <wp:extent cx="71755" cy="717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-459740</wp:posOffset>
            </wp:positionV>
            <wp:extent cx="71755" cy="717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right="40" w:hanging="8"/>
        <w:spacing w:after="0" w:line="254" w:lineRule="auto"/>
        <w:tabs>
          <w:tab w:leader="none" w:pos="246"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6"/>
          <w:szCs w:val="16"/>
          <w:color w:val="auto"/>
        </w:rPr>
        <w:t xml:space="preserve"> Για παράδειγμα, δείχνει ότι αν πραγματοποιήσετε έξοδο κατά τη συνιστώμενη περίοδο εκμετάλλευσης, η μέση απόδοση ανά έτος προβλέπεται να είναι 7,5 % πριν από τις δαπάνες και 6,6 % μετά τις δαπάνες.</w:t>
      </w:r>
    </w:p>
    <w:p>
      <w:pPr xmlns:w="http://schemas.openxmlformats.org/wordprocessingml/2006/main">
        <w:ind w:left="20" w:right="40"/>
        <w:spacing w:after="0" w:line="250"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Μπορεί να μοιραστούμε μέρος του κόστους με το άτομο που σας πουλάει το προϊόν για να καλύψουμε τις υπηρεσίες που σας παρέχουν.</w:t>
      </w:r>
      <w:r>
        <w:rPr xmlns:w="http://schemas.openxmlformats.org/wordprocessingml/2006/main">
          <w:rFonts w:ascii="Arial" w:cs="Arial" w:eastAsia="Arial" w:hAnsi="Arial"/>
          <w:sz w:val="16"/>
          <w:szCs w:val="16"/>
          <w:color w:val="auto"/>
        </w:rPr>
        <w:t xml:space="preserve"> Θα σας ενημερώσουν για το ποσό.</w:t>
      </w:r>
    </w:p>
    <w:p>
      <w:pPr>
        <w:spacing w:after="0" w:line="191" w:lineRule="exact"/>
        <w:rPr>
          <w:rFonts w:ascii="Arial" w:cs="Arial" w:eastAsia="Arial" w:hAnsi="Arial"/>
          <w:sz w:val="16"/>
          <w:szCs w:val="16"/>
          <w:color w:val="auto"/>
        </w:rPr>
      </w:pPr>
    </w:p>
    <w:p>
      <w:pPr xmlns:w="http://schemas.openxmlformats.org/wordprocessingml/2006/main">
        <w:ind w:left="20" w:right="40"/>
        <w:spacing w:after="0" w:line="249"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Τα στοιχεία αυτά περιλαμβάνουν το μέγιστο τέλος διανομής που μπορεί να χρεώσει το άτομο που σας πωλεί το προϊόν (2,0 % του ποσού που επενδύθηκε/ 200 ευρώ).</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άτομο αυτό θα σας ενημερώσει για το πραγματικό τέλος διανομής.</w:t>
      </w:r>
    </w:p>
    <w:p>
      <w:pPr>
        <w:spacing w:after="0" w:line="1" w:lineRule="exact"/>
        <w:rPr>
          <w:rFonts w:ascii="Arial" w:cs="Arial" w:eastAsia="Arial" w:hAnsi="Arial"/>
          <w:sz w:val="16"/>
          <w:szCs w:val="16"/>
          <w:color w:val="auto"/>
        </w:rPr>
      </w:pPr>
    </w:p>
    <w:p>
      <w:pPr xmlns:w="http://schemas.openxmlformats.org/wordprocessingml/2006/main">
        <w:ind w:left="40"/>
        <w:spacing w:after="0"/>
        <w:rPr>
          <w:rFonts w:ascii="Arial" w:cs="Arial" w:eastAsia="Arial" w:hAnsi="Arial"/>
          <w:sz w:val="16"/>
          <w:szCs w:val="16"/>
          <w:color w:val="auto"/>
        </w:rPr>
      </w:pPr>
      <w:r>
        <w:rPr xmlns:w="http://schemas.openxmlformats.org/wordprocessingml/2006/main">
          <w:rFonts w:ascii="Arial" w:cs="Arial" w:eastAsia="Arial" w:hAnsi="Arial"/>
          <w:sz w:val="16"/>
          <w:szCs w:val="16"/>
          <w:b w:val="1"/>
          <w:bCs w:val="1"/>
          <w:color w:val="FFFFFF"/>
        </w:rPr>
        <w:t xml:space="preserve">Σύνθεση των εξόδων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-130175</wp:posOffset>
            </wp:positionV>
            <wp:extent cx="6840220" cy="3746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92"/>
        </w:trPr>
        <w:tc>
          <w:tcPr>
            <w:tcW w:w="1980" w:type="dxa"/>
            <w:vAlign w:val="bottom"/>
          </w:tcPr>
          <w:p>
            <w:pPr>
              <w:spacing w:after="0"/>
              <w:rPr>
                <w:sz w:val="16"/>
                <w:szCs w:val="16"/>
                <w:color w:val="auto"/>
              </w:rPr>
            </w:pPr>
          </w:p>
        </w:tc>
        <w:tc>
          <w:tcPr>
            <w:tcW w:w="7160" w:type="dxa"/>
            <w:vAlign w:val="bottom"/>
          </w:tcPr>
          <w:p>
            <w:pPr>
              <w:spacing w:after="0"/>
              <w:rPr>
                <w:sz w:val="16"/>
                <w:szCs w:val="16"/>
                <w:color w:val="auto"/>
              </w:rPr>
            </w:pP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εξέλθετε μετά από 1</w:t>
            </w:r>
          </w:p>
        </w:tc>
      </w:tr>
      <w:tr>
        <w:trPr>
          <w:trHeight w:val="176"/>
        </w:trPr>
        <w:tc>
          <w:tcPr>
            <w:tcW w:w="9140" w:type="dxa"/>
            <w:vAlign w:val="bottom"/>
            <w:tcBorders>
              <w:bottom w:val="single" w:sz="8" w:color="auto"/>
            </w:tcBorders>
            <w:gridSpan w:val="2"/>
          </w:tcPr>
          <w:p>
            <w:pPr xmlns:w="http://schemas.openxmlformats.org/wordprocessingml/2006/main">
              <w:ind w:left="4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Εφάπαξ κόστος κατά την είσοδο ή την έξοδο</w:t>
            </w:r>
          </w:p>
        </w:tc>
        <w:tc>
          <w:tcPr>
            <w:tcW w:w="1660" w:type="dxa"/>
            <w:vAlign w:val="bottom"/>
            <w:tcBorders>
              <w:bottom w:val="single" w:sz="8" w:color="auto"/>
            </w:tcBorders>
          </w:tcPr>
          <w:p>
            <w:pPr xmlns:w="http://schemas.openxmlformats.org/wordprocessingml/2006/main">
              <w:ind w:left="6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έτος</w:t>
            </w:r>
          </w:p>
        </w:tc>
      </w:tr>
      <w:tr>
        <w:trPr>
          <w:trHeight w:val="204"/>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2,00% του ποσού που πληρώνετε.</w:t>
            </w:r>
            <w:r>
              <w:rPr xmlns:w="http://schemas.openxmlformats.org/wordprocessingml/2006/main">
                <w:rFonts w:ascii="Arial" w:cs="Arial" w:eastAsia="Arial" w:hAnsi="Arial"/>
                <w:sz w:val="16"/>
                <w:szCs w:val="16"/>
                <w:color w:val="auto"/>
              </w:rPr>
              <w:t xml:space="preserve"> Αυτό είναι το καλύτερο που θα χρεωθείτε.</w:t>
            </w:r>
            <w:r>
              <w:rPr xmlns:w="http://schemas.openxmlformats.org/wordprocessingml/2006/main">
                <w:rFonts w:ascii="Arial" w:cs="Arial" w:eastAsia="Arial" w:hAnsi="Arial"/>
                <w:sz w:val="16"/>
                <w:szCs w:val="16"/>
                <w:color w:val="auto"/>
              </w:rPr>
              <w:t xml:space="preserve"> Το άτομο που σας πουλάει</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200 ευρώ</w:t>
            </w: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το προϊόν θα σας ενημερώσει για την πραγματική χρέωση.</w:t>
            </w:r>
            <w:r>
              <w:rPr xmlns:w="http://schemas.openxmlformats.org/wordprocessingml/2006/main">
                <w:rFonts w:ascii="Arial" w:cs="Arial" w:eastAsia="Arial" w:hAnsi="Arial"/>
                <w:sz w:val="16"/>
                <w:szCs w:val="16"/>
                <w:color w:val="auto"/>
              </w:rPr>
              <w:t xml:space="preserve"> Δεν ισχύει για τη δευτερογενή αγορά</w:t>
            </w:r>
          </w:p>
        </w:tc>
        <w:tc>
          <w:tcPr>
            <w:tcW w:w="1660" w:type="dxa"/>
            <w:vAlign w:val="bottom"/>
          </w:tcPr>
          <w:p>
            <w:pPr>
              <w:spacing w:after="0"/>
              <w:rPr>
                <w:sz w:val="16"/>
                <w:szCs w:val="16"/>
                <w:color w:val="auto"/>
              </w:rPr>
            </w:pP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επενδυτές.</w:t>
            </w:r>
            <w:r>
              <w:rPr xmlns:w="http://schemas.openxmlformats.org/wordprocessingml/2006/main">
                <w:rFonts w:ascii="Arial" w:cs="Arial" w:eastAsia="Arial" w:hAnsi="Arial"/>
                <w:sz w:val="16"/>
                <w:szCs w:val="16"/>
                <w:color w:val="auto"/>
              </w:rPr>
              <w:t xml:space="preserve"> Οι επενδυτές που συναλλάσσονται μέσω χρηματιστηρίων θα πληρώνουν τα τέλη που χρεώνουν οι χρηματιστές.</w:t>
            </w:r>
          </w:p>
        </w:tc>
        <w:tc>
          <w:tcPr>
            <w:tcW w:w="1660" w:type="dxa"/>
            <w:vAlign w:val="bottom"/>
          </w:tcPr>
          <w:p>
            <w:pPr>
              <w:spacing w:after="0"/>
              <w:rPr>
                <w:sz w:val="16"/>
                <w:szCs w:val="16"/>
                <w:color w:val="auto"/>
              </w:rPr>
            </w:pPr>
          </w:p>
        </w:tc>
      </w:tr>
      <w:tr>
        <w:trPr>
          <w:trHeight w:val="194"/>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Τα έξοδα αυτά μπορούν να ληφθούν από χρηματιστήρια όπου οι μετοχές είναι εισηγμένες και αποτελούν αντικείμενο διαπραγμάτευσης, ή από</w:t>
            </w:r>
          </w:p>
        </w:tc>
        <w:tc>
          <w:tcPr>
            <w:tcW w:w="1660" w:type="dxa"/>
            <w:vAlign w:val="bottom"/>
          </w:tcPr>
          <w:p>
            <w:pPr>
              <w:spacing w:after="0"/>
              <w:rPr>
                <w:sz w:val="16"/>
                <w:szCs w:val="16"/>
                <w:color w:val="auto"/>
              </w:rPr>
            </w:pP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μεσίτες μετοχών.</w:t>
            </w:r>
            <w:r>
              <w:rPr xmlns:w="http://schemas.openxmlformats.org/wordprocessingml/2006/main">
                <w:rFonts w:ascii="Arial" w:cs="Arial" w:eastAsia="Arial" w:hAnsi="Arial"/>
                <w:sz w:val="16"/>
                <w:szCs w:val="16"/>
                <w:color w:val="auto"/>
              </w:rPr>
              <w:t xml:space="preserve"> Εξουσιοδοτημένοι συμμετέχοντες που ασχολούνται άμεσα με το Ταμείο ή τη Διεύθυνση</w:t>
            </w:r>
          </w:p>
        </w:tc>
        <w:tc>
          <w:tcPr>
            <w:tcW w:w="1660" w:type="dxa"/>
            <w:vAlign w:val="bottom"/>
          </w:tcPr>
          <w:p>
            <w:pPr>
              <w:spacing w:after="0"/>
              <w:rPr>
                <w:sz w:val="16"/>
                <w:szCs w:val="16"/>
                <w:color w:val="auto"/>
              </w:rPr>
            </w:pPr>
          </w:p>
        </w:tc>
      </w:tr>
      <w:tr>
        <w:trPr>
          <w:trHeight w:val="174"/>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Η εταιρεία θα πληρώσει τα σχετικά κόστη συναλλαγών.</w:t>
            </w:r>
          </w:p>
        </w:tc>
        <w:tc>
          <w:tcPr>
            <w:tcW w:w="1660" w:type="dxa"/>
            <w:vAlign w:val="bottom"/>
            <w:tcBorders>
              <w:bottom w:val="single" w:sz="8" w:color="auto"/>
            </w:tcBorders>
          </w:tcPr>
          <w:p>
            <w:pPr>
              <w:spacing w:after="0"/>
              <w:rPr>
                <w:sz w:val="15"/>
                <w:szCs w:val="15"/>
                <w:color w:val="auto"/>
              </w:rPr>
            </w:pPr>
          </w:p>
        </w:tc>
      </w:tr>
      <w:tr>
        <w:trPr>
          <w:trHeight w:val="194"/>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Δαπάνες εξόδου</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1,00% της επένδυσής σας πριν να σας καταβληθεί.</w:t>
            </w:r>
            <w:r>
              <w:rPr xmlns:w="http://schemas.openxmlformats.org/wordprocessingml/2006/main">
                <w:rFonts w:ascii="Arial" w:cs="Arial" w:eastAsia="Arial" w:hAnsi="Arial"/>
                <w:sz w:val="16"/>
                <w:szCs w:val="16"/>
                <w:color w:val="auto"/>
              </w:rPr>
              <w:t xml:space="preserve"> Αυτό είναι το καλύτερο που θα χρεωθείτε.</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100 EUR</w:t>
            </w: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Το άτομο που σας πουλάει το προϊόν θα σας ενημερώσει για την πραγματική χρέωση.</w:t>
            </w:r>
            <w:r>
              <w:rPr xmlns:w="http://schemas.openxmlformats.org/wordprocessingml/2006/main">
                <w:rFonts w:ascii="Arial" w:cs="Arial" w:eastAsia="Arial" w:hAnsi="Arial"/>
                <w:sz w:val="16"/>
                <w:szCs w:val="16"/>
                <w:color w:val="auto"/>
              </w:rPr>
              <w:t xml:space="preserve"> Δεν ισχύει για</w:t>
            </w:r>
          </w:p>
        </w:tc>
        <w:tc>
          <w:tcPr>
            <w:tcW w:w="1660" w:type="dxa"/>
            <w:vAlign w:val="bottom"/>
          </w:tcPr>
          <w:p>
            <w:pPr>
              <w:spacing w:after="0"/>
              <w:rPr>
                <w:sz w:val="16"/>
                <w:szCs w:val="16"/>
                <w:color w:val="auto"/>
              </w:rPr>
            </w:pP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διαπραγματεύονται μέσω χρηματιστηρίων θα καταβάλλουν</w:t>
            </w:r>
          </w:p>
        </w:tc>
        <w:tc>
          <w:tcPr>
            <w:tcW w:w="1660" w:type="dxa"/>
            <w:vAlign w:val="bottom"/>
          </w:tcPr>
          <w:p>
            <w:pPr>
              <w:spacing w:after="0"/>
              <w:rPr>
                <w:sz w:val="16"/>
                <w:szCs w:val="16"/>
                <w:color w:val="auto"/>
              </w:rPr>
            </w:pPr>
          </w:p>
        </w:tc>
      </w:tr>
      <w:tr>
        <w:trPr>
          <w:trHeight w:val="194"/>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μεσίτες μετοχών.</w:t>
            </w:r>
            <w:r>
              <w:rPr xmlns:w="http://schemas.openxmlformats.org/wordprocessingml/2006/main">
                <w:rFonts w:ascii="Arial" w:cs="Arial" w:eastAsia="Arial" w:hAnsi="Arial"/>
                <w:sz w:val="16"/>
                <w:szCs w:val="16"/>
                <w:color w:val="auto"/>
              </w:rPr>
              <w:t xml:space="preserve"> Τα έξοδα αυτά μπορούν να ληφθούν από χρηματιστήρια όπου οι μετοχές είναι εισηγμένες και</w:t>
            </w:r>
          </w:p>
        </w:tc>
        <w:tc>
          <w:tcPr>
            <w:tcW w:w="1660" w:type="dxa"/>
            <w:vAlign w:val="bottom"/>
          </w:tcPr>
          <w:p>
            <w:pPr>
              <w:spacing w:after="0"/>
              <w:rPr>
                <w:sz w:val="16"/>
                <w:szCs w:val="16"/>
                <w:color w:val="auto"/>
              </w:rPr>
            </w:pP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ή από μεσίτες μετοχών.</w:t>
            </w:r>
            <w:r>
              <w:rPr xmlns:w="http://schemas.openxmlformats.org/wordprocessingml/2006/main">
                <w:rFonts w:ascii="Arial" w:cs="Arial" w:eastAsia="Arial" w:hAnsi="Arial"/>
                <w:sz w:val="16"/>
                <w:szCs w:val="16"/>
                <w:color w:val="auto"/>
              </w:rPr>
              <w:t xml:space="preserve"> Εξουσιοδοτημένοι συμμετέχοντες που ασχολούνται άμεσα με το Ταμείο ή το</w:t>
            </w:r>
          </w:p>
        </w:tc>
        <w:tc>
          <w:tcPr>
            <w:tcW w:w="1660" w:type="dxa"/>
            <w:vAlign w:val="bottom"/>
          </w:tcPr>
          <w:p>
            <w:pPr>
              <w:spacing w:after="0"/>
              <w:rPr>
                <w:sz w:val="16"/>
                <w:szCs w:val="16"/>
                <w:color w:val="auto"/>
              </w:rPr>
            </w:pPr>
          </w:p>
        </w:tc>
      </w:tr>
      <w:tr>
        <w:trPr>
          <w:trHeight w:val="174"/>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5" w:lineRule="exact"/>
              <w:rPr>
                <w:sz w:val="20"/>
                <w:szCs w:val="20"/>
                <w:color w:val="auto"/>
              </w:rPr>
            </w:pPr>
            <w:r>
              <w:rPr xmlns:w="http://schemas.openxmlformats.org/wordprocessingml/2006/main">
                <w:rFonts w:ascii="Arial" w:cs="Arial" w:eastAsia="Arial" w:hAnsi="Arial"/>
                <w:sz w:val="16"/>
                <w:szCs w:val="16"/>
                <w:color w:val="auto"/>
              </w:rPr>
              <w:t xml:space="preserve">Η εταιρεία διαχείρισης θα πληρώσει τα σχετικά έξοδα συναλλαγής.</w:t>
            </w:r>
          </w:p>
        </w:tc>
        <w:tc>
          <w:tcPr>
            <w:tcW w:w="1660" w:type="dxa"/>
            <w:vAlign w:val="bottom"/>
          </w:tcPr>
          <w:p>
            <w:pPr>
              <w:spacing w:after="0"/>
              <w:rPr>
                <w:sz w:val="15"/>
                <w:szCs w:val="15"/>
                <w:color w:val="auto"/>
              </w:rPr>
            </w:pPr>
          </w:p>
        </w:tc>
      </w:tr>
      <w:tr>
        <w:trPr>
          <w:trHeight w:val="206"/>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Τρέχουσες δαπάνες που αναλαμβάνονται ετησίως</w:t>
            </w:r>
          </w:p>
        </w:tc>
        <w:tc>
          <w:tcPr>
            <w:tcW w:w="1660" w:type="dxa"/>
            <w:vAlign w:val="bottom"/>
            <w:shd w:val="clear" w:color="auto" w:fill="000000"/>
          </w:tcPr>
          <w:p>
            <w:pPr>
              <w:spacing w:after="0"/>
              <w:rPr>
                <w:sz w:val="17"/>
                <w:szCs w:val="17"/>
                <w:color w:val="auto"/>
              </w:rPr>
            </w:pPr>
          </w:p>
        </w:tc>
      </w:tr>
      <w:tr>
        <w:trPr>
          <w:trHeight w:val="209"/>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Διαχειριστικά τέλη και</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0,20% της αξίας της επένδυσής σας ετησίως.</w:t>
            </w:r>
            <w:r>
              <w:rPr xmlns:w="http://schemas.openxmlformats.org/wordprocessingml/2006/main">
                <w:rFonts w:ascii="Arial" w:cs="Arial" w:eastAsia="Arial" w:hAnsi="Arial"/>
                <w:sz w:val="16"/>
                <w:szCs w:val="16"/>
                <w:color w:val="auto"/>
              </w:rPr>
              <w:t xml:space="preserve"> Αυτό βασίζεται σε συνδυασμό</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20 ΕΥΡΩ</w:t>
            </w:r>
          </w:p>
        </w:tc>
      </w:tr>
      <w:tr>
        <w:trPr>
          <w:trHeight w:val="190"/>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άλλο διοικητικό ή</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και τα στοιχεία για το πραγματικό κόστος κατά το τελευταίο έτος.</w:t>
            </w:r>
            <w:r>
              <w:rPr xmlns:w="http://schemas.openxmlformats.org/wordprocessingml/2006/main">
                <w:rFonts w:ascii="Arial" w:cs="Arial" w:eastAsia="Arial" w:hAnsi="Arial"/>
                <w:sz w:val="16"/>
                <w:szCs w:val="16"/>
                <w:color w:val="auto"/>
              </w:rPr>
              <w:t xml:space="preserve"> Το κόστος κάθε υποκείμενου προϊόντος περιλαμβάνεται εδώ</w:t>
            </w:r>
          </w:p>
        </w:tc>
        <w:tc>
          <w:tcPr>
            <w:tcW w:w="1660" w:type="dxa"/>
            <w:vAlign w:val="bottom"/>
          </w:tcPr>
          <w:p>
            <w:pPr>
              <w:spacing w:after="0"/>
              <w:rPr>
                <w:sz w:val="16"/>
                <w:szCs w:val="16"/>
                <w:color w:val="auto"/>
              </w:rPr>
            </w:pPr>
          </w:p>
        </w:tc>
      </w:tr>
      <w:tr>
        <w:trPr>
          <w:trHeight w:val="192"/>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λειτουργικές δαπάνες</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με εξαίρεση τα έξοδα συναλλαγής που θα περιληφθούν στη συνέχεια στο σημείο «Συναλλαγή</w:t>
            </w:r>
          </w:p>
        </w:tc>
        <w:tc>
          <w:tcPr>
            <w:tcW w:w="1660" w:type="dxa"/>
            <w:vAlign w:val="bottom"/>
          </w:tcPr>
          <w:p>
            <w:pPr>
              <w:spacing w:after="0"/>
              <w:rPr>
                <w:sz w:val="16"/>
                <w:szCs w:val="16"/>
                <w:color w:val="auto"/>
              </w:rPr>
            </w:pPr>
          </w:p>
        </w:tc>
      </w:tr>
      <w:tr>
        <w:trPr>
          <w:trHeight w:val="176"/>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δαπάνες ».</w:t>
            </w:r>
          </w:p>
        </w:tc>
        <w:tc>
          <w:tcPr>
            <w:tcW w:w="1660" w:type="dxa"/>
            <w:vAlign w:val="bottom"/>
            <w:tcBorders>
              <w:bottom w:val="single" w:sz="8" w:color="auto"/>
            </w:tcBorders>
          </w:tcPr>
          <w:p>
            <w:pPr>
              <w:spacing w:after="0"/>
              <w:rPr>
                <w:sz w:val="15"/>
                <w:szCs w:val="15"/>
                <w:color w:val="auto"/>
              </w:rPr>
            </w:pPr>
          </w:p>
        </w:tc>
      </w:tr>
      <w:tr>
        <w:trPr>
          <w:trHeight w:val="192"/>
        </w:trPr>
        <w:tc>
          <w:tcPr>
            <w:tcW w:w="198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συναλλαγής</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0,02% της αξίας της επένδυσής σας ετησίως.</w:t>
            </w:r>
            <w:r>
              <w:rPr xmlns:w="http://schemas.openxmlformats.org/wordprocessingml/2006/main">
                <w:rFonts w:ascii="Arial" w:cs="Arial" w:eastAsia="Arial" w:hAnsi="Arial"/>
                <w:sz w:val="16"/>
                <w:szCs w:val="16"/>
                <w:color w:val="auto"/>
              </w:rPr>
              <w:t xml:space="preserve"> Πρόκειται για εκτίμηση των δαπανών</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2 ΕΥΡΩ</w:t>
            </w: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όταν αγοράζουμε και πωλούμε τις υποκείμενες επενδύσεις για το προϊόν.</w:t>
            </w:r>
            <w:r>
              <w:rPr xmlns:w="http://schemas.openxmlformats.org/wordprocessingml/2006/main">
                <w:rFonts w:ascii="Arial" w:cs="Arial" w:eastAsia="Arial" w:hAnsi="Arial"/>
                <w:sz w:val="16"/>
                <w:szCs w:val="16"/>
                <w:color w:val="auto"/>
              </w:rPr>
              <w:t xml:space="preserve"> Το πραγματικό ποσό</w:t>
            </w:r>
          </w:p>
        </w:tc>
        <w:tc>
          <w:tcPr>
            <w:tcW w:w="1660" w:type="dxa"/>
            <w:vAlign w:val="bottom"/>
          </w:tcPr>
          <w:p>
            <w:pPr>
              <w:spacing w:after="0"/>
              <w:rPr>
                <w:sz w:val="16"/>
                <w:szCs w:val="16"/>
                <w:color w:val="auto"/>
              </w:rPr>
            </w:pPr>
          </w:p>
        </w:tc>
      </w:tr>
      <w:tr>
        <w:trPr>
          <w:trHeight w:val="176"/>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ποικίλλουν ανάλογα με το πόσο αγοράζουμε και πουλάμε.</w:t>
            </w:r>
          </w:p>
        </w:tc>
        <w:tc>
          <w:tcPr>
            <w:tcW w:w="1660" w:type="dxa"/>
            <w:vAlign w:val="bottom"/>
          </w:tcPr>
          <w:p>
            <w:pPr>
              <w:spacing w:after="0"/>
              <w:rPr>
                <w:sz w:val="15"/>
                <w:szCs w:val="15"/>
                <w:color w:val="auto"/>
              </w:rPr>
            </w:pP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Παρεμπίπτοντα έξοδα που αναλαμβάνονται υπό ειδικές συνθήκες</w:t>
            </w:r>
          </w:p>
        </w:tc>
        <w:tc>
          <w:tcPr>
            <w:tcW w:w="1660" w:type="dxa"/>
            <w:vAlign w:val="bottom"/>
            <w:shd w:val="clear" w:color="auto" w:fill="000000"/>
          </w:tcPr>
          <w:p>
            <w:pPr>
              <w:spacing w:after="0"/>
              <w:rPr>
                <w:sz w:val="17"/>
                <w:szCs w:val="17"/>
                <w:color w:val="auto"/>
              </w:rPr>
            </w:pPr>
          </w:p>
        </w:tc>
      </w:tr>
      <w:tr>
        <w:trPr>
          <w:trHeight w:val="192"/>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Τέλη εκτέλεσης</w:t>
            </w:r>
          </w:p>
        </w:tc>
        <w:tc>
          <w:tcPr>
            <w:tcW w:w="716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bl>
    <w:p>
      <w:pPr>
        <w:spacing w:after="0" w:line="5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Πόσο καιρό θα πρέπει να το κρατήσω και μπορώ να βγάλω χρήματα νωρίς;</w:t>
      </w:r>
      <w:r>
        <w:rPr xmlns:w="http://schemas.openxmlformats.org/wordprocessingml/2006/main">
          <w:rFonts w:ascii="Arial" w:cs="Arial" w:eastAsia="Arial" w:hAnsi="Arial"/>
          <w:sz w:val="18"/>
          <w:szCs w:val="18"/>
          <w:b w:val="1"/>
          <w:bCs w:val="1"/>
          <w:color w:val="auto"/>
          <w:shd w:val="clear" w:color="auto" w:fill="72CA33"/>
        </w:rPr>
        <w:t xml:space="preserve"> Συνιστώμενη περίοδος διατήρησης:</w:t>
      </w:r>
      <w:r>
        <w:rPr xmlns:w="http://schemas.openxmlformats.org/wordprocessingml/2006/main">
          <w:rFonts w:ascii="Arial" w:cs="Arial" w:eastAsia="Arial" w:hAnsi="Arial"/>
          <w:sz w:val="18"/>
          <w:szCs w:val="18"/>
          <w:b w:val="1"/>
          <w:bCs w:val="1"/>
          <w:color w:val="auto"/>
          <w:shd w:val="clear" w:color="auto" w:fill="72CA33"/>
        </w:rPr>
        <w:t xml:space="preserve"> 5 χρόνια</w:t>
      </w:r>
    </w:p>
    <w:p>
      <w:pPr>
        <w:spacing w:after="0" w:line="28" w:lineRule="exact"/>
        <w:rPr>
          <w:sz w:val="20"/>
          <w:szCs w:val="20"/>
          <w:color w:val="auto"/>
        </w:rPr>
      </w:pPr>
    </w:p>
    <w:p>
      <w:pPr xmlns:w="http://schemas.openxmlformats.org/wordprocessingml/2006/main">
        <w:jc w:val="both"/>
        <w:ind w:left="2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Η συνιστώμενη περίοδος εκμετάλλευσης (RHP) υπολογίστηκε σύμφωνα με την επενδυτική στρατηγική του Ταμείου και το χρονικό πλαίσιο εντός του οποίου αναμένεται ότι θα είναι δυνατή η επίτευξη του επενδυτικού στόχου του Ταμείου.</w:t>
      </w:r>
      <w:r>
        <w:rPr xmlns:w="http://schemas.openxmlformats.org/wordprocessingml/2006/main">
          <w:rFonts w:ascii="Arial" w:cs="Arial" w:eastAsia="Arial" w:hAnsi="Arial"/>
          <w:sz w:val="16"/>
          <w:szCs w:val="16"/>
          <w:color w:val="auto"/>
        </w:rPr>
        <w:t xml:space="preserve"> Οποιαδήποτε επένδυση θα πρέπει να εξετάζεται σε σχέση με τις συγκεκριμένες επενδυτικές ανάγκες σας και την όρεξή σας για κίνδυνο.</w:t>
      </w:r>
      <w:r>
        <w:rPr xmlns:w="http://schemas.openxmlformats.org/wordprocessingml/2006/main">
          <w:rFonts w:ascii="Arial" w:cs="Arial" w:eastAsia="Arial" w:hAnsi="Arial"/>
          <w:sz w:val="16"/>
          <w:szCs w:val="16"/>
          <w:color w:val="auto"/>
        </w:rPr>
        <w:t xml:space="preserve"> BlackRock δεν έχει εξετάσει την καταλληλότητα ή την καταλληλότητα αυτής της επένδυσης για τις προσωπικές σας συνθήκες.</w:t>
      </w:r>
      <w:r>
        <w:rPr xmlns:w="http://schemas.openxmlformats.org/wordprocessingml/2006/main">
          <w:rFonts w:ascii="Arial" w:cs="Arial" w:eastAsia="Arial" w:hAnsi="Arial"/>
          <w:sz w:val="16"/>
          <w:szCs w:val="16"/>
          <w:color w:val="auto"/>
        </w:rPr>
        <w:t xml:space="preserve"> Αν έχετε αμφιβολίες σχετικά με την καταλληλότητα του Ταμείου για τις ανάγκες σας, θα πρέπει να ζητήσετε την κατάλληλη επαγγελματική συμβουλή.</w:t>
      </w:r>
      <w:r>
        <w:rPr xmlns:w="http://schemas.openxmlformats.org/wordprocessingml/2006/main">
          <w:rFonts w:ascii="Arial" w:cs="Arial" w:eastAsia="Arial" w:hAnsi="Arial"/>
          <w:sz w:val="16"/>
          <w:szCs w:val="16"/>
          <w:color w:val="auto"/>
        </w:rPr>
        <w:t xml:space="preserve"> Λεπτομέρειες σχετικά με τη συχνότητα συναλλαγών μπορούν να βρεθούν κάτω από «Τι είναι αυτό το προϊόν;».</w:t>
      </w:r>
      <w:r>
        <w:rPr xmlns:w="http://schemas.openxmlformats.org/wordprocessingml/2006/main">
          <w:rFonts w:ascii="Arial" w:cs="Arial" w:eastAsia="Arial" w:hAnsi="Arial"/>
          <w:sz w:val="16"/>
          <w:szCs w:val="16"/>
          <w:color w:val="auto"/>
        </w:rPr>
        <w:t xml:space="preserve"> Μπορεί να λάβετε λιγότερα από τα αναμενόμενα αν κάνετε χρήση μετρητών νωρίτερα από την RHP.</w:t>
      </w:r>
      <w:r>
        <w:rPr xmlns:w="http://schemas.openxmlformats.org/wordprocessingml/2006/main">
          <w:rFonts w:ascii="Arial" w:cs="Arial" w:eastAsia="Arial" w:hAnsi="Arial"/>
          <w:sz w:val="16"/>
          <w:szCs w:val="16"/>
          <w:color w:val="auto"/>
        </w:rPr>
        <w:t xml:space="preserve"> Ο RHP είναι μια εκτίμηση και δεν πρέπει να λαμβάνεται ως εγγύηση ή ένδειξη των μελλοντικών επιδόσεων, απόδοσης ή επιπέδων κινδύνου.</w:t>
      </w:r>
      <w:r>
        <w:rPr xmlns:w="http://schemas.openxmlformats.org/wordprocessingml/2006/main">
          <w:rFonts w:ascii="Arial" w:cs="Arial" w:eastAsia="Arial" w:hAnsi="Arial"/>
          <w:sz w:val="16"/>
          <w:szCs w:val="16"/>
          <w:color w:val="auto"/>
        </w:rPr>
        <w:t xml:space="preserve"> Δείτε την ενότητα «Ποιο είναι το κόστος;»</w:t>
      </w:r>
      <w:r>
        <w:rPr xmlns:w="http://schemas.openxmlformats.org/wordprocessingml/2006/main">
          <w:rFonts w:ascii="Arial" w:cs="Arial" w:eastAsia="Arial" w:hAnsi="Arial"/>
          <w:sz w:val="16"/>
          <w:szCs w:val="16"/>
          <w:color w:val="auto"/>
        </w:rPr>
        <w:t xml:space="preserve"> τμήμα για λεπτομέρειες τυχόν τελών εξόδου.</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Πώς μπορώ να παραπονεθώ;</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Αν δεν είστε απόλυτα ικανοποιημένοι με οποιαδήποτε πτυχή της υπηρεσίας που έχετε λάβει και θέλετε να διαμαρτυρηθείτε, οι λεπτομέρειες της διαδικασίας διαχείρισης παραπόνων μας είναι διαθέσιμες στη διεύθυνση www.ishares.com/de/privatanleger/de/wissen-und-service/uber-ishares/kontakt.</w:t>
      </w:r>
      <w:r>
        <w:rPr xmlns:w="http://schemas.openxmlformats.org/wordprocessingml/2006/main">
          <w:rFonts w:ascii="Arial" w:cs="Arial" w:eastAsia="Arial" w:hAnsi="Arial"/>
          <w:sz w:val="16"/>
          <w:szCs w:val="16"/>
          <w:color w:val="auto"/>
        </w:rPr>
        <w:t xml:space="preserve"> Επιπλέον, μπορείτε επίσης να γράψετε στον Διευθυντή, στην καταστατική του έδρα, Lenbachplatz 1, 80333 Μόναχο ή να τους στείλετε email στο info@ishares.de.</w:t>
      </w:r>
    </w:p>
    <w:p>
      <w:pPr>
        <w:spacing w:after="0" w:line="1"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Άλλες σχετικές πληροφορίες</w:t>
      </w:r>
    </w:p>
    <w:p>
      <w:pPr>
        <w:spacing w:after="0" w:line="22" w:lineRule="exact"/>
        <w:rPr>
          <w:sz w:val="20"/>
          <w:szCs w:val="20"/>
          <w:color w:val="auto"/>
        </w:rPr>
      </w:pPr>
    </w:p>
    <w:p>
      <w:pPr xmlns:w="http://schemas.openxmlformats.org/wordprocessingml/2006/main">
        <w:jc w:val="both"/>
        <w:ind w:left="20" w:right="40"/>
        <w:spacing w:after="0" w:line="245" w:lineRule="auto"/>
        <w:rPr>
          <w:sz w:val="20"/>
          <w:szCs w:val="20"/>
          <w:color w:val="auto"/>
        </w:rPr>
      </w:pPr>
      <w:r>
        <w:rPr xmlns:w="http://schemas.openxmlformats.org/wordprocessingml/2006/main">
          <w:rFonts w:ascii="Arial" w:cs="Arial" w:eastAsia="Arial" w:hAnsi="Arial"/>
          <w:sz w:val="16"/>
          <w:szCs w:val="16"/>
          <w:color w:val="auto"/>
        </w:rPr>
        <w:t xml:space="preserve">Η τελευταία έκδοση του παρόντος εγγράφου, 10 χρόνια παλαιότερων επιδόσεων του Ταμείου, προηγούμενο σενάριο επιδόσεων του Ταμείου, η τελευταία ετήσια έκθεση και εξαμηνιαία έκθεση και τυχόν πρόσθετες πληροφορίες που εκδίδονται για τους επενδυτές μπορούν να ληφθούν δωρεάν, στα γερμανικά, αγγλικά και ορισμένες άλλες γλώσσες, από www.ishares.com (επιλέξτε τη χώρα σας και πλοηγηθείτε στα Έγγραφα) ή καλώντας +49 (0) 89 42729 5858 ή από τον μεσίτη, τον οικονομικό σύμβουλο ή τον διανομέα σας.</w:t>
      </w:r>
    </w:p>
    <w:p>
      <w:pPr>
        <w:spacing w:after="0" w:line="3"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δείκτης αναφοράς που αναφέρεται στο παρόν είναι η πνευματική ιδιοκτησία του/των παρόχου/-ων του δείκτη.</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προϊόν δεν υποστηρίζεται ή υποστηρίζεται από τον πάροχο ή τους παρόχους ευρετηρίου.</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ή/και στη διεύθυνση www.blackrock.com για πλήρη αποποίηση ευθυνών.</w:t>
      </w:r>
    </w:p>
    <w:p>
      <w:pPr xmlns:w="http://schemas.openxmlformats.org/wordprocessingml/2006/main">
        <w:ind w:left="20" w:right="4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Η πολιτική αποδοχών του διαχειριστή,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του διαχειριστή.</w:t>
      </w:r>
      <w:r>
        <w:rPr xmlns:w="http://schemas.openxmlformats.org/wordprocessingml/2006/main">
          <w:rFonts w:ascii="Arial" w:cs="Arial" w:eastAsia="Arial" w:hAnsi="Arial"/>
          <w:sz w:val="16"/>
          <w:szCs w:val="16"/>
          <w:color w:val="auto"/>
        </w:rPr>
        <w:t xml:space="preserve"> Ο ελβετός εκπρόσωπος του ταμείου είναι η εταιρεία BlackRock Asset Management Schweiz AG, Bahnhofstrasse 39, 8001 Zurich.</w:t>
      </w:r>
      <w:r>
        <w:rPr xmlns:w="http://schemas.openxmlformats.org/wordprocessingml/2006/main">
          <w:rFonts w:ascii="Arial" w:cs="Arial" w:eastAsia="Arial" w:hAnsi="Arial"/>
          <w:sz w:val="16"/>
          <w:szCs w:val="16"/>
          <w:color w:val="auto"/>
        </w:rPr>
        <w:t xml:space="preserve"> Ο ελβετικός φορέας πληρωμής του Ταμείου είναι η State Street Bank International GmbH, Μόναχο, υποκατάστημα Ζυρίχης, Beethovenstrasse 19, 8027 Zurich.</w:t>
      </w:r>
      <w:r>
        <w:rPr xmlns:w="http://schemas.openxmlformats.org/wordprocessingml/2006/main">
          <w:rFonts w:ascii="Arial" w:cs="Arial" w:eastAsia="Arial" w:hAnsi="Arial"/>
          <w:sz w:val="16"/>
          <w:szCs w:val="16"/>
          <w:color w:val="auto"/>
        </w:rPr>
        <w:t xml:space="preserve"> Το ενημερωτικό δελτίο, το παρόν έγγραφο, το καταστατικό του Ταμείου διατίθενται δωρεάν από τον Ελβετό αντιπρόσωπο.</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8822D25"/>
    <w:multiLevelType w:val="hybridMultilevel"/>
    <w:lvl w:ilvl="0">
      <w:lvlJc w:val="left"/>
      <w:lvlText w:val="*"/>
      <w:numFmt w:val="bullet"/>
      <w:start w:val="1"/>
    </w:lvl>
  </w:abstractNum>
  <w:abstractNum w:abstractNumId="1">
    <w:nsid w:val="1346EAE0"/>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jpeg"/><Relationship Id="rId34" Type="http://schemas.openxmlformats.org/officeDocument/2006/relationships/image" Target="media/image23.jpeg"/><Relationship Id="rId35" Type="http://schemas.openxmlformats.org/officeDocument/2006/relationships/image" Target="media/image24.jpeg"/><Relationship Id="rId36" Type="http://schemas.openxmlformats.org/officeDocument/2006/relationships/image" Target="media/image25.jpeg"/><Relationship Id="rId37"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2024-05-20T11:17:25Z</dcterms:created>
  <dcterms:modified xsi:type="dcterms:W3CDTF">2024-05-20T11:17:25Z</dcterms:modified>
</cp:coreProperties>
</file>